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eastAsia="方正小标宋_GBK"/>
          <w:sz w:val="44"/>
          <w:szCs w:val="44"/>
        </w:rPr>
      </w:pPr>
      <w:bookmarkStart w:id="1" w:name="_GoBack"/>
      <w:bookmarkStart w:id="0" w:name="_Toc24724717"/>
      <w:r>
        <w:rPr>
          <w:rFonts w:hint="eastAsia" w:ascii="方正小标宋_GBK" w:eastAsia="方正小标宋_GBK"/>
          <w:sz w:val="44"/>
          <w:szCs w:val="44"/>
        </w:rPr>
        <w:t>保障性住房领域</w:t>
      </w:r>
      <w:bookmarkEnd w:id="1"/>
      <w:r>
        <w:rPr>
          <w:rFonts w:hint="eastAsia" w:ascii="方正小标宋_GBK" w:eastAsia="方正小标宋_GBK"/>
          <w:sz w:val="44"/>
          <w:szCs w:val="44"/>
        </w:rPr>
        <w:t>基层政务公开标准目录</w:t>
      </w:r>
      <w:bookmarkEnd w:id="0"/>
    </w:p>
    <w:tbl>
      <w:tblPr>
        <w:tblStyle w:val="6"/>
        <w:tblW w:w="14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74"/>
        <w:gridCol w:w="1800"/>
        <w:gridCol w:w="3600"/>
        <w:gridCol w:w="1080"/>
        <w:gridCol w:w="1080"/>
        <w:gridCol w:w="1246"/>
        <w:gridCol w:w="720"/>
        <w:gridCol w:w="709"/>
        <w:gridCol w:w="551"/>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shd w:val="clear" w:color="auto" w:fill="auto"/>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94"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60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08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246"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40" w:type="dxa"/>
            <w:vMerge w:val="continue"/>
            <w:vAlign w:val="center"/>
          </w:tcPr>
          <w:p>
            <w:pPr>
              <w:widowControl/>
              <w:jc w:val="left"/>
              <w:rPr>
                <w:rFonts w:ascii="Times New Roman" w:hAnsi="Times New Roman"/>
                <w:color w:val="000000"/>
                <w:kern w:val="0"/>
                <w:sz w:val="22"/>
              </w:rPr>
            </w:pP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74"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pPr>
              <w:widowControl/>
              <w:jc w:val="left"/>
              <w:rPr>
                <w:rFonts w:ascii="黑体" w:hAnsi="宋体" w:eastAsia="黑体" w:cs="宋体"/>
                <w:color w:val="000000"/>
                <w:kern w:val="0"/>
                <w:sz w:val="22"/>
              </w:rPr>
            </w:pPr>
          </w:p>
        </w:tc>
        <w:tc>
          <w:tcPr>
            <w:tcW w:w="3600"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rPr>
                <w:rFonts w:ascii="黑体" w:hAnsi="宋体" w:eastAsia="黑体" w:cs="宋体"/>
                <w:color w:val="000000"/>
                <w:kern w:val="0"/>
                <w:sz w:val="22"/>
              </w:rPr>
            </w:pPr>
          </w:p>
        </w:tc>
        <w:tc>
          <w:tcPr>
            <w:tcW w:w="1246" w:type="dxa"/>
            <w:vMerge w:val="continue"/>
            <w:vAlign w:val="center"/>
          </w:tcPr>
          <w:p>
            <w:pPr>
              <w:widowControl/>
              <w:jc w:val="left"/>
              <w:rPr>
                <w:rFonts w:ascii="黑体" w:hAnsi="宋体" w:eastAsia="黑体" w:cs="宋体"/>
                <w:kern w:val="0"/>
                <w:sz w:val="22"/>
              </w:rPr>
            </w:pP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7" w:hRule="atLeas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法规政策</w:t>
            </w:r>
          </w:p>
        </w:tc>
        <w:tc>
          <w:tcPr>
            <w:tcW w:w="1274"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6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《已购公有住房和经济适用住房上市出售管理暂行办法》、《廉租住房保障办法》、《经济适用住房管理办法》、《公共租赁住房管理办法》、《住房城乡建设部 财政部 国家发改委关于公共租赁住房和廉租住房并轨运行的通知》、《中共中央办公厅国务院办公厅印发〈关于全面推进政务公开工作的意见〉的通知》、《国务院办公厅印发〈关于全面推进政务公开工作的意见〉实施细则的通知》、《住房和城乡建设部 财政部关于做好城镇住房保障家庭租赁补贴工作的指导意见》、《国务院办公厅关于推进公共资源配置领域政府信息公开的意见》、</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信息获取（形成、变更）20个工作日内</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新城区住房和城乡建设局</w:t>
            </w:r>
          </w:p>
        </w:tc>
        <w:tc>
          <w:tcPr>
            <w:tcW w:w="124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       ■两微一端       ■公开查阅点</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3" w:hRule="atLeas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shd w:val="clear" w:color="auto" w:fill="auto"/>
            <w:vAlign w:val="center"/>
          </w:tcPr>
          <w:p>
            <w:pPr>
              <w:jc w:val="center"/>
              <w:rPr>
                <w:rFonts w:ascii="仿宋_GB2312" w:hAnsi="宋体" w:eastAsia="仿宋_GB2312"/>
                <w:color w:val="000000"/>
                <w:sz w:val="18"/>
                <w:szCs w:val="18"/>
              </w:rPr>
            </w:pPr>
          </w:p>
        </w:tc>
        <w:tc>
          <w:tcPr>
            <w:tcW w:w="1274"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政策文件</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09" w:type="dxa"/>
            <w:vMerge w:val="continue"/>
            <w:shd w:val="clear" w:color="auto" w:fill="auto"/>
            <w:vAlign w:val="center"/>
          </w:tcPr>
          <w:p>
            <w:pPr>
              <w:rPr>
                <w:rFonts w:ascii="仿宋_GB2312" w:hAnsi="宋体" w:eastAsia="仿宋_GB2312"/>
                <w:color w:val="000000"/>
                <w:sz w:val="18"/>
                <w:szCs w:val="18"/>
              </w:rPr>
            </w:pPr>
          </w:p>
        </w:tc>
        <w:tc>
          <w:tcPr>
            <w:tcW w:w="551"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274"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保障性住房申请受理</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申请受理公告；</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申请条件、程序、期限和所需材料；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租赁补贴发放计划。</w:t>
            </w:r>
          </w:p>
        </w:tc>
        <w:tc>
          <w:tcPr>
            <w:tcW w:w="36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                           </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新城区住房和城乡建设局</w:t>
            </w:r>
          </w:p>
        </w:tc>
        <w:tc>
          <w:tcPr>
            <w:tcW w:w="124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shd w:val="clear" w:color="auto" w:fill="auto"/>
            <w:vAlign w:val="center"/>
          </w:tcPr>
          <w:p>
            <w:pPr>
              <w:jc w:val="center"/>
              <w:rPr>
                <w:rFonts w:ascii="仿宋_GB2312" w:hAnsi="宋体" w:eastAsia="仿宋_GB2312"/>
                <w:color w:val="000000"/>
                <w:sz w:val="18"/>
                <w:szCs w:val="18"/>
              </w:rPr>
            </w:pPr>
          </w:p>
        </w:tc>
        <w:tc>
          <w:tcPr>
            <w:tcW w:w="1274"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公租房租赁补贴或租金减免审批</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申请受理；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审核结果：申请对象姓名、身份证号(隐藏部分号码)、申请房源类型；</w:t>
            </w: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09" w:type="dxa"/>
            <w:vMerge w:val="continue"/>
            <w:shd w:val="clear" w:color="auto" w:fill="auto"/>
            <w:vAlign w:val="center"/>
          </w:tcPr>
          <w:p>
            <w:pPr>
              <w:rPr>
                <w:rFonts w:ascii="仿宋_GB2312" w:hAnsi="宋体" w:eastAsia="仿宋_GB2312"/>
                <w:color w:val="000000"/>
                <w:sz w:val="18"/>
                <w:szCs w:val="18"/>
              </w:rPr>
            </w:pPr>
          </w:p>
        </w:tc>
        <w:tc>
          <w:tcPr>
            <w:tcW w:w="551"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shd w:val="clear" w:color="auto" w:fill="auto"/>
            <w:vAlign w:val="center"/>
          </w:tcPr>
          <w:p>
            <w:pPr>
              <w:jc w:val="center"/>
              <w:rPr>
                <w:rFonts w:ascii="仿宋_GB2312" w:hAnsi="宋体" w:eastAsia="仿宋_GB2312"/>
                <w:color w:val="000000"/>
                <w:sz w:val="18"/>
                <w:szCs w:val="18"/>
              </w:rPr>
            </w:pPr>
          </w:p>
        </w:tc>
        <w:tc>
          <w:tcPr>
            <w:tcW w:w="1274"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租赁补贴发放</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保障对象姓名、身份证号（隐藏部分号码）；发放金额；发放年度、月份、日期；发放方式。</w:t>
            </w:r>
          </w:p>
        </w:tc>
        <w:tc>
          <w:tcPr>
            <w:tcW w:w="360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新城区住房和城乡建设局</w:t>
            </w:r>
          </w:p>
        </w:tc>
        <w:tc>
          <w:tcPr>
            <w:tcW w:w="124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■两微一端</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0" w:hRule="atLeas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274"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申请保障</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申请条件；申请所需材料及范本；申请流程和办理时限；申请受理（办理）机构；受理地点；咨询电话、监督电话等。</w:t>
            </w:r>
          </w:p>
        </w:tc>
        <w:tc>
          <w:tcPr>
            <w:tcW w:w="36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《关于全面推进政务公开工作的意见》、《国务院关于加快推进“互联网+政务服务”工作的指导意见》</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新城区住房和城乡建设局、保合少镇、各街道办事处及其所辖各村、居委会</w:t>
            </w:r>
          </w:p>
        </w:tc>
        <w:tc>
          <w:tcPr>
            <w:tcW w:w="124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■两微一端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■公开查阅点</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■便民服务站</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pPr>
              <w:jc w:val="center"/>
              <w:rPr>
                <w:rFonts w:ascii="仿宋_GB2312" w:hAnsi="宋体" w:eastAsia="仿宋_GB2312"/>
                <w:color w:val="000000"/>
                <w:sz w:val="18"/>
                <w:szCs w:val="18"/>
              </w:rPr>
            </w:pPr>
          </w:p>
        </w:tc>
        <w:tc>
          <w:tcPr>
            <w:tcW w:w="551"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8" w:hRule="atLeas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274"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主动回应</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公众提出的意见建议及回复情况；公开突发事件应对情况等。</w:t>
            </w:r>
          </w:p>
        </w:tc>
        <w:tc>
          <w:tcPr>
            <w:tcW w:w="3600" w:type="dxa"/>
            <w:vMerge w:val="continue"/>
            <w:vAlign w:val="center"/>
          </w:tcPr>
          <w:p>
            <w:pPr>
              <w:jc w:val="center"/>
              <w:rPr>
                <w:rFonts w:ascii="仿宋_GB2312" w:hAnsi="宋体" w:eastAsia="仿宋_GB2312"/>
                <w:color w:val="000000"/>
                <w:sz w:val="18"/>
                <w:szCs w:val="18"/>
              </w:rPr>
            </w:pPr>
          </w:p>
        </w:tc>
        <w:tc>
          <w:tcPr>
            <w:tcW w:w="1080" w:type="dxa"/>
            <w:vMerge w:val="continue"/>
            <w:vAlign w:val="center"/>
          </w:tcPr>
          <w:p>
            <w:pPr>
              <w:jc w:val="center"/>
              <w:rPr>
                <w:rFonts w:ascii="仿宋_GB2312" w:hAnsi="宋体" w:eastAsia="仿宋_GB2312"/>
                <w:color w:val="000000"/>
                <w:sz w:val="18"/>
                <w:szCs w:val="18"/>
              </w:rPr>
            </w:pPr>
          </w:p>
        </w:tc>
        <w:tc>
          <w:tcPr>
            <w:tcW w:w="1080" w:type="dxa"/>
            <w:vMerge w:val="continue"/>
            <w:vAlign w:val="center"/>
          </w:tcPr>
          <w:p>
            <w:pPr>
              <w:jc w:val="center"/>
              <w:rPr>
                <w:rFonts w:ascii="仿宋_GB2312" w:hAnsi="宋体" w:eastAsia="仿宋_GB2312"/>
                <w:color w:val="000000"/>
                <w:sz w:val="18"/>
                <w:szCs w:val="18"/>
              </w:rPr>
            </w:pPr>
          </w:p>
        </w:tc>
        <w:tc>
          <w:tcPr>
            <w:tcW w:w="1246" w:type="dxa"/>
            <w:vMerge w:val="continue"/>
            <w:vAlign w:val="center"/>
          </w:tcPr>
          <w:p>
            <w:pPr>
              <w:jc w:val="center"/>
              <w:rPr>
                <w:rFonts w:ascii="仿宋_GB2312" w:hAnsi="宋体" w:eastAsia="仿宋_GB2312"/>
                <w:color w:val="000000"/>
                <w:sz w:val="18"/>
                <w:szCs w:val="18"/>
              </w:rPr>
            </w:pPr>
          </w:p>
        </w:tc>
        <w:tc>
          <w:tcPr>
            <w:tcW w:w="720" w:type="dxa"/>
            <w:vMerge w:val="continue"/>
            <w:shd w:val="clear" w:color="auto" w:fill="auto"/>
            <w:vAlign w:val="center"/>
          </w:tcPr>
          <w:p>
            <w:pPr>
              <w:jc w:val="center"/>
              <w:rPr>
                <w:rFonts w:ascii="仿宋_GB2312" w:hAnsi="宋体" w:eastAsia="仿宋_GB2312"/>
                <w:color w:val="000000"/>
                <w:sz w:val="18"/>
                <w:szCs w:val="18"/>
              </w:rPr>
            </w:pPr>
          </w:p>
        </w:tc>
        <w:tc>
          <w:tcPr>
            <w:tcW w:w="709" w:type="dxa"/>
            <w:vMerge w:val="continue"/>
            <w:shd w:val="clear" w:color="auto" w:fill="auto"/>
            <w:vAlign w:val="center"/>
          </w:tcPr>
          <w:p>
            <w:pPr>
              <w:jc w:val="center"/>
              <w:rPr>
                <w:rFonts w:ascii="仿宋_GB2312" w:hAnsi="宋体" w:eastAsia="仿宋_GB2312"/>
                <w:color w:val="000000"/>
                <w:sz w:val="18"/>
                <w:szCs w:val="18"/>
              </w:rPr>
            </w:pPr>
          </w:p>
        </w:tc>
        <w:tc>
          <w:tcPr>
            <w:tcW w:w="551" w:type="dxa"/>
            <w:vMerge w:val="continue"/>
            <w:shd w:val="clear" w:color="auto" w:fill="auto"/>
            <w:vAlign w:val="center"/>
          </w:tcPr>
          <w:p>
            <w:pPr>
              <w:jc w:val="center"/>
              <w:rPr>
                <w:rFonts w:ascii="仿宋_GB2312" w:hAnsi="宋体" w:eastAsia="仿宋_GB2312"/>
                <w:color w:val="000000"/>
                <w:sz w:val="18"/>
                <w:szCs w:val="18"/>
              </w:rPr>
            </w:pPr>
          </w:p>
        </w:tc>
        <w:tc>
          <w:tcPr>
            <w:tcW w:w="720" w:type="dxa"/>
            <w:vMerge w:val="continue"/>
            <w:shd w:val="clear" w:color="auto" w:fill="auto"/>
            <w:vAlign w:val="center"/>
          </w:tcPr>
          <w:p>
            <w:pPr>
              <w:jc w:val="center"/>
              <w:rPr>
                <w:rFonts w:ascii="仿宋_GB2312" w:hAnsi="宋体" w:eastAsia="仿宋_GB2312"/>
                <w:color w:val="000000"/>
                <w:sz w:val="18"/>
                <w:szCs w:val="18"/>
              </w:rPr>
            </w:pPr>
          </w:p>
        </w:tc>
      </w:tr>
    </w:tbl>
    <w:p>
      <w:pPr>
        <w:rPr>
          <w:rFonts w:ascii="黑体" w:hAnsi="黑体" w:eastAsia="黑体" w:cs="黑体"/>
          <w:b/>
          <w:sz w:val="18"/>
          <w:szCs w:val="1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hmOGVkM2Y1ZTFlOTA3MjlkNGNjOTI5ZTk5YmIyYjkifQ=="/>
  </w:docVars>
  <w:rsids>
    <w:rsidRoot w:val="003720C8"/>
    <w:rsid w:val="00034605"/>
    <w:rsid w:val="00096376"/>
    <w:rsid w:val="000A0373"/>
    <w:rsid w:val="0011768B"/>
    <w:rsid w:val="00144D31"/>
    <w:rsid w:val="001B2C1C"/>
    <w:rsid w:val="00252717"/>
    <w:rsid w:val="002F3228"/>
    <w:rsid w:val="003720C8"/>
    <w:rsid w:val="004272B4"/>
    <w:rsid w:val="00465B0E"/>
    <w:rsid w:val="004C6272"/>
    <w:rsid w:val="004F7388"/>
    <w:rsid w:val="005A116B"/>
    <w:rsid w:val="006A75BB"/>
    <w:rsid w:val="006F0A72"/>
    <w:rsid w:val="00813CE4"/>
    <w:rsid w:val="00841A42"/>
    <w:rsid w:val="00891724"/>
    <w:rsid w:val="00D10256"/>
    <w:rsid w:val="00DD5AD8"/>
    <w:rsid w:val="00E65F4C"/>
    <w:rsid w:val="00F710C7"/>
    <w:rsid w:val="0EBF0530"/>
    <w:rsid w:val="10F11F4C"/>
    <w:rsid w:val="145459EF"/>
    <w:rsid w:val="31D110FB"/>
    <w:rsid w:val="320F1026"/>
    <w:rsid w:val="40795535"/>
    <w:rsid w:val="4DC96E40"/>
    <w:rsid w:val="6699448F"/>
    <w:rsid w:val="6B0E57C3"/>
    <w:rsid w:val="6CEE0506"/>
    <w:rsid w:val="74694C90"/>
    <w:rsid w:val="75144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rFonts w:cs="Times New Roman"/>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0"/>
    <w:semiHidden/>
    <w:unhideWhenUsed/>
    <w:qFormat/>
    <w:uiPriority w:val="99"/>
    <w:pPr>
      <w:ind w:left="100" w:leftChars="2500"/>
    </w:p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99"/>
    <w:rPr>
      <w:rFonts w:ascii="Calibri" w:hAnsi="Calibri" w:eastAsia="宋体" w:cs="Arial"/>
      <w:kern w:val="2"/>
      <w:sz w:val="18"/>
      <w:szCs w:val="18"/>
    </w:rPr>
  </w:style>
  <w:style w:type="character" w:customStyle="1" w:styleId="9">
    <w:name w:val="页脚 Char"/>
    <w:basedOn w:val="7"/>
    <w:link w:val="4"/>
    <w:uiPriority w:val="99"/>
    <w:rPr>
      <w:rFonts w:ascii="Calibri" w:hAnsi="Calibri" w:eastAsia="宋体" w:cs="Arial"/>
      <w:kern w:val="2"/>
      <w:sz w:val="18"/>
      <w:szCs w:val="18"/>
    </w:rPr>
  </w:style>
  <w:style w:type="character" w:customStyle="1" w:styleId="10">
    <w:name w:val="日期 Char"/>
    <w:basedOn w:val="7"/>
    <w:link w:val="3"/>
    <w:semiHidden/>
    <w:qFormat/>
    <w:uiPriority w:val="99"/>
    <w:rPr>
      <w:rFonts w:ascii="Calibri" w:hAnsi="Calibri" w:eastAsia="宋体" w:cs="Arial"/>
      <w:kern w:val="2"/>
      <w:sz w:val="21"/>
      <w:szCs w:val="22"/>
    </w:rPr>
  </w:style>
  <w:style w:type="character" w:customStyle="1" w:styleId="11">
    <w:name w:val="标题 1 Char"/>
    <w:basedOn w:val="7"/>
    <w:link w:val="2"/>
    <w:uiPriority w:val="9"/>
    <w:rPr>
      <w:rFonts w:ascii="Calibri" w:hAnsi="Calibri" w:eastAsia="宋体" w:cs="Times New Roman"/>
      <w:b/>
      <w:bCs/>
      <w:kern w:val="44"/>
      <w:sz w:val="44"/>
      <w:szCs w:val="44"/>
    </w:rPr>
  </w:style>
  <w:style w:type="paragraph" w:styleId="12">
    <w:name w:val="List Paragraph"/>
    <w:basedOn w:val="1"/>
    <w:qFormat/>
    <w:uiPriority w:val="34"/>
    <w:pPr>
      <w:ind w:firstLine="420" w:firstLineChars="200"/>
    </w:pPr>
    <w:rPr>
      <w:rFonts w:eastAsia="仿宋_GB2312" w:asciiTheme="minorHAnsi" w:hAnsiTheme="minorHAnsi" w:cstheme="minorBidi"/>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1037</Words>
  <Characters>1047</Characters>
  <Lines>9</Lines>
  <Paragraphs>2</Paragraphs>
  <TotalTime>0</TotalTime>
  <ScaleCrop>false</ScaleCrop>
  <LinksUpToDate>false</LinksUpToDate>
  <CharactersWithSpaces>1137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2020-12-11T07:09:00Z</dcterms:created>
  <dc:creator>Administrator</dc:creator>
  <cp:lastModifiedBy>Administrator</cp:lastModifiedBy>
  <cp:lastPrinted>2020-09-04T02:51:00Z</cp:lastPrinted>
  <dcterms:modified xsi:type="dcterms:W3CDTF">2022-10-08T03:23:15Z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9D5834301A404ABCAD3292F76D32E661</vt:lpwstr>
  </property>
</Properties>
</file>