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财政预决算领域基层政务公开标准目录</w:t>
      </w:r>
    </w:p>
    <w:tbl>
      <w:tblPr>
        <w:tblStyle w:val="2"/>
        <w:tblpPr w:leftFromText="180" w:rightFromText="180" w:vertAnchor="page" w:horzAnchor="page" w:tblpX="1296" w:tblpY="2583"/>
        <w:tblOverlap w:val="never"/>
        <w:tblW w:w="138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"/>
        <w:gridCol w:w="906"/>
        <w:gridCol w:w="777"/>
        <w:gridCol w:w="4405"/>
        <w:gridCol w:w="1294"/>
        <w:gridCol w:w="777"/>
        <w:gridCol w:w="776"/>
        <w:gridCol w:w="1166"/>
        <w:gridCol w:w="647"/>
        <w:gridCol w:w="519"/>
        <w:gridCol w:w="518"/>
        <w:gridCol w:w="648"/>
        <w:gridCol w:w="518"/>
        <w:gridCol w:w="4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168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公开事项</w:t>
            </w:r>
          </w:p>
        </w:tc>
        <w:tc>
          <w:tcPr>
            <w:tcW w:w="440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公开内容（要素）及要求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公开依据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公开时限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公开主体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公开渠道和载体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公开对象</w:t>
            </w:r>
          </w:p>
        </w:tc>
        <w:tc>
          <w:tcPr>
            <w:tcW w:w="1166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公开方式</w:t>
            </w: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公开层级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8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一级</w:t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事项</w:t>
            </w:r>
          </w:p>
        </w:tc>
        <w:tc>
          <w:tcPr>
            <w:tcW w:w="77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二级</w:t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事项</w:t>
            </w:r>
          </w:p>
        </w:tc>
        <w:tc>
          <w:tcPr>
            <w:tcW w:w="44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4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全社会</w:t>
            </w:r>
          </w:p>
        </w:tc>
        <w:tc>
          <w:tcPr>
            <w:tcW w:w="519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特定群体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主动</w:t>
            </w:r>
          </w:p>
        </w:tc>
        <w:tc>
          <w:tcPr>
            <w:tcW w:w="6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依申请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县级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" w:hAnsi="仿宋" w:eastAsia="仿宋"/>
                <w:b/>
                <w:color w:val="000000"/>
                <w:kern w:val="0"/>
                <w:sz w:val="15"/>
                <w:szCs w:val="15"/>
              </w:rPr>
              <w:t>乡级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1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财政预决算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政府预算</w:t>
            </w: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一般公共预算：①一般公共预算收入表。②一般公共预算支出表。③一般公共预算本级支出表。④一般公共预算本级基本支出表。⑤一般公共预算税收返还和转移支付表。⑥政府一般债务限额和余额情况表。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《中华人民共和国预算法》、《中华人民共和国政府信息公开条例》、《财政部关于印发&lt;地方预决算公开操作规程的通知&gt;》（财预〔2016〕143号）、《财政部关于印发&lt;地方政府债务信息公开办法（试行）&gt;的通知》（财预〔2018〕209号）等法律法规和文件规定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本级人民代表大会或其常务委员会批准后20日内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新城区财政局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政府网站、财政部门网站公开平台或政府公报</w:t>
            </w:r>
          </w:p>
        </w:tc>
        <w:tc>
          <w:tcPr>
            <w:tcW w:w="64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51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政府性基金预算：①政府性基金收入表。②政府性基金支出表。③本级政府性基金支出表。④政府性基金转移支付表。⑤政府专项债务限额和余额情况表。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国有资本经营预算：①国有资本经营预算收入表。②国有资本经营预算支出表。③本级国有资本经营预算支出表。④对下安排转移支付的应当公开国有资本经营预算转移支付表。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社会保险基金预算：①社会保险基金收入表。②社会保险基金支出表。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地方一般公共预算、政府性基金预算、国有资本经营预算和社会保险基金预算报表中涉及本级支出的，应当公开到功能分类项级科目。本级一般公共预算基本支出应当公开到经济性质分类款级科目，专项转移支付应当分地区、分项目公开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对财政转移支付安排、举借政府债务等重要事项进行解释、说明，并公开重大政策和重点项目等绩效目标。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地方本级汇总的一般公共预算“三公”经费，包括预算总额，以及“因公出国（境）费”“公务用车购置及运行费”（区分“公务用车购置费”“公务用车运行费”两项）、“公务接待费”分项数额，并对增减变化情况进行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地方政府债务限额、余额、使用安排及还本付息等信息，包括：①随同预算公开上一年度本地区、本级及所属地区地方政府债务限额及余额（或余额预计执行数），以及本地区和本级上一年度地方政府债券（含再融资债券）发行及还本付息额（或预计执行数）、本年度地方政府债券还本付息预算数等；②随同调整预算公开当年本地区及本级地方政府债务限额、本级新增地方政府债券资金使用安排等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没有数据的表格应当列出空表并说明。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2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财政预决算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政府决算</w:t>
            </w: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一般公共预算：①一般公共预算收入表。②一般公共预算支出表。③一般公共预算本级支出表。④一般公共预算本级基本支出表。⑤一般公共预算税收返还和转移支付表。⑥政府一般债务限额和余额情况表。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《中华人民共和国预算法》、《中华人民共和国政府信息公开条例》、《财政部关于印发&lt;地方预决算公开操作规程的通知&gt;》（财预〔2016〕143号）、《财政部关于印发&lt;地方政府债务信息公开办法（试行）&gt;的通知》（财预〔2018〕209号）等法律法规和文件规定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本级人民代表大会或其常务委员会批准后20日内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新城区财政局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政府网站、财政部门网站公开平台或政府公报</w:t>
            </w:r>
          </w:p>
        </w:tc>
        <w:tc>
          <w:tcPr>
            <w:tcW w:w="64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51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政府性基金预算：①政府性基金收入表。②政府性基金支出表。③本级政府性基金支出表。④政府性基金转移支付表。⑤政府专项债务限额和余额情况表。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国有资本经营预算：①国有资本经营预算收入表。②国有资本经营预算支出表。③本级国有资本经营预算支出表。④对下安排转移支付的应当公开国有资本经营预算转移支付表。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社会保险基金预算：①社会保险基金收入表。②社会保险基金支出表。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地方一般公共预算、政府性基金预算、国有资本经营预算和社会保险基金预算报表中涉及本级支出的，应当公开到功能分类项级科目。本级一般公共预算基本支出应当公开到经济性质分类款级科目，专项转移支付应当分地区、分项目公开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对财政转移支付安排、举借政府债务、预算绩效工作开展情况等重要事项进行解释、说明，并公开重大政策和重点项目绩效执行结果。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地方本级汇总的一般公共预算“三公”经费，包括预算总额，以及“因公出国（境）费”“公务用车购置及运行费”（区分“公务用车购置费”“公务用车运行费”两项）“公务接待费”分项数额，并对增减变化情况（与预算对比）进行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地方政府债务限额、余额、使用安排及还本付息等信息，包括：上年末本地区、本级及所属地区地方政府债务限额、余额决算数，地方政府债券发行、还本付息决算数，以及债券资金使用安排等。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没有数据的表格应当列出空表并说明。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3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财政预决算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部门预算</w:t>
            </w: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收支总体情况表：①部门收支总体情况表。②部门收入总体情况表。③部门支出总体情况表。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《中华人民共和国预算法》、《中华人民共和国政府信息公开条例》、《财政部关于印发&lt;地方预决算公开操作规程的通知&gt;》（财预〔2016〕143号）等法律法规和文件规定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本级政府财政部门批复后20日内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全区各单位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部门网站、 政府网站、政府公报</w:t>
            </w:r>
          </w:p>
        </w:tc>
        <w:tc>
          <w:tcPr>
            <w:tcW w:w="64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51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财政拨款收支情况表：①财政拨款收支总体情况表。②一般公共预算支出情况表。③一般公共预算基本支出情况表。④一般公共预算“三公”经费支出情况表。⑤政府性基金预算支出情况表。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一般公共预算支出情况表公开到功能分类项级科目。一般公共预算基本支出表公开到经济分类款级科目。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一般公共预算“三公”经费支出表按“因公出国（境）费”“公务用车购置及运行费”“公务接待费”公开，其中，“公务用车购置及运行费”应当细化到“公务用车购置费”“公务用车运行费”两个项目，并对增减变化情况进行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本部门职责、机构设置情况、预算收</w:t>
            </w:r>
          </w:p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支增减变化、机关运行经费安排以及政府采购（主要包括部门政府采购预算总金额和货物、工程、服务采购的预算金额）等情况的说明，并对专业性较强的名词进行解释。结合工作进展情况，逐步公开国有资产占用、重点项目预算的绩效目标等情况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没有数据的表格应当列出空表并说明。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38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4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财政预决算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部门决算</w:t>
            </w: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收支总体情况表：①部门收支总体情况表。②部门收入总体情况表。③部门支出总体情况表。</w:t>
            </w:r>
          </w:p>
        </w:tc>
        <w:tc>
          <w:tcPr>
            <w:tcW w:w="1294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《中华人民共和国预算法》、《中华人民共和国政府信息公开条例》、《财政部关于印发&lt;地方预决算公开操作规程的通知&gt;》（财预〔2016〕143号）等法律法规和文件规定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本级政府财政部门批复后20日内</w:t>
            </w:r>
          </w:p>
        </w:tc>
        <w:tc>
          <w:tcPr>
            <w:tcW w:w="77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全区各单位</w:t>
            </w:r>
          </w:p>
        </w:tc>
        <w:tc>
          <w:tcPr>
            <w:tcW w:w="116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部门网站、 政府网站、政府公报</w:t>
            </w:r>
          </w:p>
        </w:tc>
        <w:tc>
          <w:tcPr>
            <w:tcW w:w="64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519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√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财政拨款收支情况表：①财政拨款收支总体情况表。②一般公共预算支出情况表。③一般公共预算基本支出情况表。④一般公共预算“三公”经费支出情况表。⑤政府性基金预算支出情况表。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一般公共预算支出情况表公开到功能分类项级科目。一般公共预算基本支出表公开到经济分类款级科目。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一般公共预算“三公”经费支出表按“因公出国（境）费”“公务用车购置及运行费”“公务接待费”公开，其中，“公务用车购置及运行费”应当细化到“公务用车购置费”“公务用车运行费”两个项目，并对增减变化情况（与预算对比）进行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本部门职责、机构设置情况、决算收支增减变化、机关运行经费安排以及政府采购（主要包括部门政府采购支出总金额，货物、工程、服务的采购金额，授予中小企业的合同金额及占政府采购支出总金额的比重）等情况的说明，并对专业性较强的名词进行解释。结合工作进展情况，逐步公开国有资产占用、绩效评价结果等情况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38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90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405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ascii="仿宋" w:hAnsi="仿宋" w:eastAsia="仿宋"/>
                <w:sz w:val="15"/>
                <w:szCs w:val="15"/>
              </w:rPr>
            </w:pPr>
            <w:r>
              <w:rPr>
                <w:rFonts w:hint="eastAsia" w:ascii="仿宋" w:hAnsi="仿宋" w:eastAsia="仿宋"/>
                <w:sz w:val="15"/>
                <w:szCs w:val="15"/>
              </w:rPr>
              <w:t>没有数据的表格应当列出空表并说明。</w:t>
            </w:r>
          </w:p>
        </w:tc>
        <w:tc>
          <w:tcPr>
            <w:tcW w:w="1294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116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7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9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64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518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  <w:tc>
          <w:tcPr>
            <w:tcW w:w="47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sz w:val="15"/>
                <w:szCs w:val="15"/>
              </w:rPr>
            </w:pPr>
          </w:p>
        </w:tc>
      </w:tr>
    </w:tbl>
    <w:p>
      <w:pPr>
        <w:jc w:val="center"/>
        <w:rPr>
          <w:rFonts w:hint="eastAsia" w:ascii="微软雅黑" w:hAnsi="微软雅黑" w:eastAsia="微软雅黑" w:cs="微软雅黑"/>
          <w:sz w:val="44"/>
          <w:szCs w:val="44"/>
        </w:rPr>
      </w:pPr>
    </w:p>
    <w:p>
      <w:pPr>
        <w:jc w:val="both"/>
        <w:rPr>
          <w:rFonts w:hint="eastAsia" w:ascii="微软雅黑" w:hAnsi="微软雅黑" w:eastAsia="微软雅黑" w:cs="微软雅黑"/>
          <w:sz w:val="44"/>
          <w:szCs w:val="44"/>
        </w:rPr>
      </w:pPr>
    </w:p>
    <w:sectPr>
      <w:pgSz w:w="16838" w:h="11906" w:orient="landscape"/>
      <w:pgMar w:top="669" w:right="873" w:bottom="669" w:left="87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mOGVkM2Y1ZTFlOTA3MjlkNGNjOTI5ZTk5YmIyYjkifQ=="/>
  </w:docVars>
  <w:rsids>
    <w:rsidRoot w:val="187C2841"/>
    <w:rsid w:val="187C2841"/>
    <w:rsid w:val="74CB1BA5"/>
    <w:rsid w:val="758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投标方案"/>
    <w:basedOn w:val="1"/>
    <w:next w:val="1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default" w:asciiTheme="minorAscii" w:hAnsiTheme="minorAscii"/>
      <w:b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2022-10-20T03:42:00Z</dcterms:created>
  <dc:creator>Administrator</dc:creator>
  <cp:lastModifiedBy>Administrator</cp:lastModifiedBy>
  <dcterms:modified xsi:type="dcterms:W3CDTF">2022-10-20T03:45:15Z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8F73CABA93DE42B8B669747FA9F0CA51</vt:lpwstr>
  </property>
</Properties>
</file>