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44"/>
          <w:szCs w:val="44"/>
        </w:rPr>
      </w:pPr>
      <w:bookmarkStart w:id="1" w:name="_GoBack"/>
      <w:bookmarkStart w:id="0" w:name="_Toc24724717"/>
      <w:r>
        <w:rPr>
          <w:rFonts w:hint="eastAsia" w:ascii="方正小标宋_GBK" w:eastAsia="方正小标宋_GBK"/>
          <w:sz w:val="44"/>
          <w:szCs w:val="44"/>
        </w:rPr>
        <w:t>保障性住房领域</w:t>
      </w:r>
      <w:bookmarkEnd w:id="1"/>
      <w:r>
        <w:rPr>
          <w:rFonts w:hint="eastAsia" w:ascii="方正小标宋_GBK" w:eastAsia="方正小标宋_GBK"/>
          <w:sz w:val="44"/>
          <w:szCs w:val="44"/>
        </w:rPr>
        <w:t>基层政务公开标准目录</w:t>
      </w:r>
      <w:bookmarkEnd w:id="0"/>
    </w:p>
    <w:tbl>
      <w:tblPr>
        <w:tblStyle w:val="6"/>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74"/>
        <w:gridCol w:w="1800"/>
        <w:gridCol w:w="3600"/>
        <w:gridCol w:w="1080"/>
        <w:gridCol w:w="1080"/>
        <w:gridCol w:w="1246"/>
        <w:gridCol w:w="720"/>
        <w:gridCol w:w="709"/>
        <w:gridCol w:w="5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94"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60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0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46"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40" w:type="dxa"/>
            <w:vMerge w:val="continue"/>
            <w:vAlign w:val="center"/>
          </w:tcPr>
          <w:p>
            <w:pPr>
              <w:widowControl/>
              <w:jc w:val="left"/>
              <w:rPr>
                <w:rFonts w:ascii="Times New Roman" w:hAnsi="Times New Roman"/>
                <w:color w:val="000000"/>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74"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vAlign w:val="center"/>
          </w:tcPr>
          <w:p>
            <w:pPr>
              <w:widowControl/>
              <w:jc w:val="left"/>
              <w:rPr>
                <w:rFonts w:ascii="黑体" w:hAnsi="宋体" w:eastAsia="黑体" w:cs="宋体"/>
                <w:color w:val="000000"/>
                <w:kern w:val="0"/>
                <w:sz w:val="22"/>
              </w:rPr>
            </w:pPr>
          </w:p>
        </w:tc>
        <w:tc>
          <w:tcPr>
            <w:tcW w:w="360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color w:val="000000"/>
                <w:kern w:val="0"/>
                <w:sz w:val="22"/>
              </w:rPr>
            </w:pPr>
          </w:p>
        </w:tc>
        <w:tc>
          <w:tcPr>
            <w:tcW w:w="1080" w:type="dxa"/>
            <w:vMerge w:val="continue"/>
            <w:vAlign w:val="center"/>
          </w:tcPr>
          <w:p>
            <w:pPr>
              <w:widowControl/>
              <w:jc w:val="left"/>
              <w:rPr>
                <w:rFonts w:ascii="黑体" w:hAnsi="宋体" w:eastAsia="黑体" w:cs="宋体"/>
                <w:color w:val="000000"/>
                <w:kern w:val="0"/>
                <w:sz w:val="22"/>
              </w:rPr>
            </w:pPr>
          </w:p>
        </w:tc>
        <w:tc>
          <w:tcPr>
            <w:tcW w:w="1246" w:type="dxa"/>
            <w:vMerge w:val="continue"/>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7" w:hRule="atLeast"/>
          <w:jc w:val="center"/>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法规政策</w:t>
            </w:r>
          </w:p>
        </w:tc>
        <w:tc>
          <w:tcPr>
            <w:tcW w:w="1274"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法律法规</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国务院办公厅印发〈关于全面推进政务公开工作的意见〉实施细则的通知》、《住房和城乡建设部 财政部关于做好城镇住房保障家庭租赁补贴工作的指导意见》、《国务院办公厅关于推进公共资源配置领域政府信息公开的意见》、</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信息获取（形成、变更）20个工作日内</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新城区住房和城乡建设局</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■政府网站       ■两微一端       ■公开查阅点</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shd w:val="clear" w:color="auto" w:fill="auto"/>
            <w:vAlign w:val="center"/>
          </w:tcPr>
          <w:p>
            <w:pPr>
              <w:jc w:val="center"/>
              <w:rPr>
                <w:rFonts w:ascii="仿宋_GB2312" w:hAnsi="宋体" w:eastAsia="仿宋_GB2312"/>
                <w:color w:val="000000"/>
                <w:sz w:val="18"/>
                <w:szCs w:val="18"/>
              </w:rPr>
            </w:pPr>
          </w:p>
        </w:tc>
        <w:tc>
          <w:tcPr>
            <w:tcW w:w="1274"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政策文件</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文件名称；</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文号；</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发布部门；</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发布日期；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实施日期；</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正文。</w:t>
            </w:r>
          </w:p>
        </w:tc>
        <w:tc>
          <w:tcPr>
            <w:tcW w:w="360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09" w:type="dxa"/>
            <w:vMerge w:val="continue"/>
            <w:shd w:val="clear" w:color="auto" w:fill="auto"/>
            <w:vAlign w:val="center"/>
          </w:tcPr>
          <w:p>
            <w:pPr>
              <w:rPr>
                <w:rFonts w:ascii="仿宋_GB2312" w:hAnsi="宋体" w:eastAsia="仿宋_GB2312"/>
                <w:color w:val="000000"/>
                <w:sz w:val="18"/>
                <w:szCs w:val="18"/>
              </w:rPr>
            </w:pPr>
          </w:p>
        </w:tc>
        <w:tc>
          <w:tcPr>
            <w:tcW w:w="551"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配给管理</w:t>
            </w:r>
          </w:p>
        </w:tc>
        <w:tc>
          <w:tcPr>
            <w:tcW w:w="1274"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保障性住房申请受理</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申请受理公告；</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申请条件、程序、期限和所需材料；</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租赁补贴发放计划。</w:t>
            </w:r>
          </w:p>
        </w:tc>
        <w:tc>
          <w:tcPr>
            <w:tcW w:w="360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经济适用住房管理办法》、《公共租赁住房管理办法》、《住房城乡建设部办公厅关于做好2012年住房保障信息公开工作的通知》、《住房城乡建设部办公厅关于进一步加强住房保障信息公开工作的通知》、《国务院办公厅关于推进公共资源配置领域政府信息公开的意见》                           </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新城区住房和城乡建设局</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■两微一端            </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shd w:val="clear" w:color="auto" w:fill="auto"/>
            <w:vAlign w:val="center"/>
          </w:tcPr>
          <w:p>
            <w:pPr>
              <w:jc w:val="center"/>
              <w:rPr>
                <w:rFonts w:ascii="仿宋_GB2312" w:hAnsi="宋体" w:eastAsia="仿宋_GB2312"/>
                <w:color w:val="000000"/>
                <w:sz w:val="18"/>
                <w:szCs w:val="18"/>
              </w:rPr>
            </w:pPr>
          </w:p>
        </w:tc>
        <w:tc>
          <w:tcPr>
            <w:tcW w:w="1274"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公租房租赁补贴或租金减免审批</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申请受理；</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审核结果：申请对象姓名、身份证号(隐藏部分号码)、申请房源类型；</w:t>
            </w:r>
          </w:p>
        </w:tc>
        <w:tc>
          <w:tcPr>
            <w:tcW w:w="360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080" w:type="dxa"/>
            <w:vMerge w:val="continue"/>
            <w:vAlign w:val="center"/>
          </w:tcPr>
          <w:p>
            <w:pPr>
              <w:rPr>
                <w:rFonts w:ascii="仿宋_GB2312" w:hAnsi="宋体" w:eastAsia="仿宋_GB2312"/>
                <w:color w:val="000000"/>
                <w:sz w:val="18"/>
                <w:szCs w:val="18"/>
              </w:rPr>
            </w:pPr>
          </w:p>
        </w:tc>
        <w:tc>
          <w:tcPr>
            <w:tcW w:w="1246" w:type="dxa"/>
            <w:vMerge w:val="continue"/>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c>
          <w:tcPr>
            <w:tcW w:w="709" w:type="dxa"/>
            <w:vMerge w:val="continue"/>
            <w:shd w:val="clear" w:color="auto" w:fill="auto"/>
            <w:vAlign w:val="center"/>
          </w:tcPr>
          <w:p>
            <w:pPr>
              <w:rPr>
                <w:rFonts w:ascii="仿宋_GB2312" w:hAnsi="宋体" w:eastAsia="仿宋_GB2312"/>
                <w:color w:val="000000"/>
                <w:sz w:val="18"/>
                <w:szCs w:val="18"/>
              </w:rPr>
            </w:pPr>
          </w:p>
        </w:tc>
        <w:tc>
          <w:tcPr>
            <w:tcW w:w="551" w:type="dxa"/>
            <w:vMerge w:val="continue"/>
            <w:shd w:val="clear" w:color="auto" w:fill="auto"/>
            <w:vAlign w:val="center"/>
          </w:tcPr>
          <w:p>
            <w:pPr>
              <w:rPr>
                <w:rFonts w:ascii="仿宋_GB2312" w:hAnsi="宋体" w:eastAsia="仿宋_GB2312"/>
                <w:color w:val="000000"/>
                <w:sz w:val="18"/>
                <w:szCs w:val="18"/>
              </w:rPr>
            </w:pPr>
          </w:p>
        </w:tc>
        <w:tc>
          <w:tcPr>
            <w:tcW w:w="720" w:type="dxa"/>
            <w:vMerge w:val="continue"/>
            <w:shd w:val="clear" w:color="auto" w:fill="auto"/>
            <w:vAlign w:val="center"/>
          </w:tcPr>
          <w:p>
            <w:pPr>
              <w:rPr>
                <w:rFonts w:ascii="仿宋_GB2312" w:hAnsi="宋体" w:eastAsia="仿宋_GB2312"/>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shd w:val="clear" w:color="auto" w:fill="auto"/>
            <w:vAlign w:val="center"/>
          </w:tcPr>
          <w:p>
            <w:pPr>
              <w:jc w:val="center"/>
              <w:rPr>
                <w:rFonts w:ascii="仿宋_GB2312" w:hAnsi="宋体" w:eastAsia="仿宋_GB2312"/>
                <w:color w:val="000000"/>
                <w:sz w:val="18"/>
                <w:szCs w:val="18"/>
              </w:rPr>
            </w:pPr>
          </w:p>
        </w:tc>
        <w:tc>
          <w:tcPr>
            <w:tcW w:w="1274" w:type="dxa"/>
            <w:shd w:val="clear" w:color="auto" w:fill="auto"/>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租赁补贴发放</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保障对象姓名、身份证号（隐藏部分号码）；发放金额；发放年度、月份、日期；发放方式。</w:t>
            </w:r>
          </w:p>
        </w:tc>
        <w:tc>
          <w:tcPr>
            <w:tcW w:w="3600" w:type="dxa"/>
            <w:vMerge w:val="continue"/>
            <w:vAlign w:val="center"/>
          </w:tcPr>
          <w:p>
            <w:pPr>
              <w:rPr>
                <w:rFonts w:ascii="仿宋_GB2312" w:hAnsi="宋体" w:eastAsia="仿宋_GB2312"/>
                <w:color w:val="000000"/>
                <w:sz w:val="18"/>
                <w:szCs w:val="18"/>
              </w:rPr>
            </w:pP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新城区住房和城乡建设局</w:t>
            </w:r>
          </w:p>
        </w:tc>
        <w:tc>
          <w:tcPr>
            <w:tcW w:w="1246"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pPr>
              <w:rPr>
                <w:rFonts w:ascii="仿宋_GB2312" w:hAnsi="宋体" w:eastAsia="仿宋_GB2312"/>
                <w:color w:val="000000"/>
                <w:sz w:val="18"/>
                <w:szCs w:val="18"/>
              </w:rPr>
            </w:pPr>
            <w:r>
              <w:rPr>
                <w:rFonts w:hint="eastAsia" w:ascii="仿宋_GB2312" w:hAnsi="宋体" w:eastAsia="仿宋_GB2312"/>
                <w:color w:val="000000"/>
                <w:sz w:val="18"/>
                <w:szCs w:val="18"/>
              </w:rPr>
              <w:t>■两微一端</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pPr>
              <w:jc w:val="center"/>
              <w:rPr>
                <w:rFonts w:ascii="仿宋_GB2312" w:hAnsi="宋体" w:eastAsia="仿宋_GB2312"/>
                <w:color w:val="000000"/>
                <w:sz w:val="18"/>
                <w:szCs w:val="18"/>
              </w:rPr>
            </w:pPr>
          </w:p>
        </w:tc>
        <w:tc>
          <w:tcPr>
            <w:tcW w:w="551"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0" w:hRule="atLeast"/>
          <w:jc w:val="center"/>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办事指南</w:t>
            </w:r>
          </w:p>
        </w:tc>
        <w:tc>
          <w:tcPr>
            <w:tcW w:w="1274"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申请保障</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申请条件；申请所需材料及范本；申请流程和办理时限；申请受理（办理）机构；受理地点；咨询电话、监督电话等。</w:t>
            </w:r>
          </w:p>
        </w:tc>
        <w:tc>
          <w:tcPr>
            <w:tcW w:w="360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《关于全面推进政务公开工作的意见》、《国务院关于加快推进“互联网+政务服务”工作的指导意见》</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信息形成（变更）20个工作日内</w:t>
            </w:r>
          </w:p>
        </w:tc>
        <w:tc>
          <w:tcPr>
            <w:tcW w:w="1080"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新城区住房和城乡建设局、保合少镇、各街道办事处及其所辖各村、居委会</w:t>
            </w:r>
          </w:p>
        </w:tc>
        <w:tc>
          <w:tcPr>
            <w:tcW w:w="1246" w:type="dxa"/>
            <w:vMerge w:val="restart"/>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 xml:space="preserve">■两微一端       </w:t>
            </w:r>
            <w:r>
              <w:rPr>
                <w:rFonts w:hint="eastAsia" w:ascii="仿宋_GB2312" w:hAnsi="宋体" w:eastAsia="仿宋_GB2312"/>
                <w:color w:val="000000"/>
                <w:sz w:val="18"/>
                <w:szCs w:val="18"/>
              </w:rPr>
              <w:br w:type="textWrapping"/>
            </w:r>
            <w:r>
              <w:rPr>
                <w:rFonts w:hint="eastAsia" w:ascii="仿宋_GB2312" w:hAnsi="宋体" w:eastAsia="仿宋_GB2312"/>
                <w:color w:val="000000"/>
                <w:sz w:val="18"/>
                <w:szCs w:val="18"/>
              </w:rPr>
              <w:t>■公开查阅点</w:t>
            </w:r>
          </w:p>
          <w:p>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pPr>
              <w:rPr>
                <w:rFonts w:ascii="仿宋_GB2312" w:hAnsi="宋体" w:eastAsia="仿宋_GB2312"/>
                <w:color w:val="000000"/>
                <w:sz w:val="18"/>
                <w:szCs w:val="18"/>
              </w:rPr>
            </w:pPr>
            <w:r>
              <w:rPr>
                <w:rFonts w:hint="eastAsia" w:ascii="仿宋_GB2312" w:hAnsi="宋体" w:eastAsia="仿宋_GB2312"/>
                <w:color w:val="000000"/>
                <w:sz w:val="18"/>
                <w:szCs w:val="18"/>
              </w:rPr>
              <w:t>■便民服务站</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pPr>
              <w:jc w:val="center"/>
              <w:rPr>
                <w:rFonts w:ascii="仿宋_GB2312" w:hAnsi="宋体" w:eastAsia="仿宋_GB2312"/>
                <w:color w:val="000000"/>
                <w:sz w:val="18"/>
                <w:szCs w:val="18"/>
              </w:rPr>
            </w:pPr>
          </w:p>
        </w:tc>
        <w:tc>
          <w:tcPr>
            <w:tcW w:w="551"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8" w:hRule="atLeast"/>
          <w:jc w:val="center"/>
        </w:trPr>
        <w:tc>
          <w:tcPr>
            <w:tcW w:w="540" w:type="dxa"/>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回应关切</w:t>
            </w:r>
          </w:p>
        </w:tc>
        <w:tc>
          <w:tcPr>
            <w:tcW w:w="1274" w:type="dxa"/>
            <w:shd w:val="clear" w:color="auto" w:fill="auto"/>
            <w:vAlign w:val="center"/>
          </w:tcPr>
          <w:p>
            <w:pPr>
              <w:jc w:val="center"/>
              <w:rPr>
                <w:rFonts w:ascii="仿宋_GB2312" w:hAnsi="宋体" w:eastAsia="仿宋_GB2312"/>
                <w:color w:val="000000"/>
                <w:sz w:val="18"/>
                <w:szCs w:val="18"/>
              </w:rPr>
            </w:pPr>
            <w:r>
              <w:rPr>
                <w:rFonts w:hint="eastAsia" w:ascii="仿宋_GB2312" w:hAnsi="宋体" w:eastAsia="仿宋_GB2312"/>
                <w:color w:val="000000"/>
                <w:sz w:val="18"/>
                <w:szCs w:val="18"/>
              </w:rPr>
              <w:t>主动回应</w:t>
            </w:r>
          </w:p>
        </w:tc>
        <w:tc>
          <w:tcPr>
            <w:tcW w:w="1800" w:type="dxa"/>
            <w:vAlign w:val="center"/>
          </w:tcPr>
          <w:p>
            <w:pPr>
              <w:rPr>
                <w:rFonts w:ascii="仿宋_GB2312" w:hAnsi="宋体" w:eastAsia="仿宋_GB2312"/>
                <w:color w:val="000000"/>
                <w:sz w:val="18"/>
                <w:szCs w:val="18"/>
              </w:rPr>
            </w:pPr>
            <w:r>
              <w:rPr>
                <w:rFonts w:hint="eastAsia" w:ascii="仿宋_GB2312" w:hAnsi="宋体" w:eastAsia="仿宋_GB2312"/>
                <w:color w:val="000000"/>
                <w:sz w:val="18"/>
                <w:szCs w:val="18"/>
              </w:rPr>
              <w:t>公众提出的意见建议及回复情况；公开突发事件应对情况等。</w:t>
            </w:r>
          </w:p>
        </w:tc>
        <w:tc>
          <w:tcPr>
            <w:tcW w:w="3600" w:type="dxa"/>
            <w:vMerge w:val="continue"/>
            <w:vAlign w:val="center"/>
          </w:tcPr>
          <w:p>
            <w:pPr>
              <w:jc w:val="center"/>
              <w:rPr>
                <w:rFonts w:ascii="仿宋_GB2312" w:hAnsi="宋体" w:eastAsia="仿宋_GB2312"/>
                <w:color w:val="000000"/>
                <w:sz w:val="18"/>
                <w:szCs w:val="18"/>
              </w:rPr>
            </w:pPr>
          </w:p>
        </w:tc>
        <w:tc>
          <w:tcPr>
            <w:tcW w:w="1080" w:type="dxa"/>
            <w:vMerge w:val="continue"/>
            <w:vAlign w:val="center"/>
          </w:tcPr>
          <w:p>
            <w:pPr>
              <w:jc w:val="center"/>
              <w:rPr>
                <w:rFonts w:ascii="仿宋_GB2312" w:hAnsi="宋体" w:eastAsia="仿宋_GB2312"/>
                <w:color w:val="000000"/>
                <w:sz w:val="18"/>
                <w:szCs w:val="18"/>
              </w:rPr>
            </w:pPr>
          </w:p>
        </w:tc>
        <w:tc>
          <w:tcPr>
            <w:tcW w:w="1080" w:type="dxa"/>
            <w:vMerge w:val="continue"/>
            <w:vAlign w:val="center"/>
          </w:tcPr>
          <w:p>
            <w:pPr>
              <w:jc w:val="center"/>
              <w:rPr>
                <w:rFonts w:ascii="仿宋_GB2312" w:hAnsi="宋体" w:eastAsia="仿宋_GB2312"/>
                <w:color w:val="000000"/>
                <w:sz w:val="18"/>
                <w:szCs w:val="18"/>
              </w:rPr>
            </w:pPr>
          </w:p>
        </w:tc>
        <w:tc>
          <w:tcPr>
            <w:tcW w:w="1246" w:type="dxa"/>
            <w:vMerge w:val="continue"/>
            <w:vAlign w:val="center"/>
          </w:tcPr>
          <w:p>
            <w:pPr>
              <w:jc w:val="center"/>
              <w:rPr>
                <w:rFonts w:ascii="仿宋_GB2312" w:hAnsi="宋体" w:eastAsia="仿宋_GB2312"/>
                <w:color w:val="000000"/>
                <w:sz w:val="18"/>
                <w:szCs w:val="18"/>
              </w:rPr>
            </w:pPr>
          </w:p>
        </w:tc>
        <w:tc>
          <w:tcPr>
            <w:tcW w:w="720" w:type="dxa"/>
            <w:vMerge w:val="continue"/>
            <w:shd w:val="clear" w:color="auto" w:fill="auto"/>
            <w:vAlign w:val="center"/>
          </w:tcPr>
          <w:p>
            <w:pPr>
              <w:jc w:val="center"/>
              <w:rPr>
                <w:rFonts w:ascii="仿宋_GB2312" w:hAnsi="宋体" w:eastAsia="仿宋_GB2312"/>
                <w:color w:val="000000"/>
                <w:sz w:val="18"/>
                <w:szCs w:val="18"/>
              </w:rPr>
            </w:pPr>
          </w:p>
        </w:tc>
        <w:tc>
          <w:tcPr>
            <w:tcW w:w="709" w:type="dxa"/>
            <w:vMerge w:val="continue"/>
            <w:shd w:val="clear" w:color="auto" w:fill="auto"/>
            <w:vAlign w:val="center"/>
          </w:tcPr>
          <w:p>
            <w:pPr>
              <w:jc w:val="center"/>
              <w:rPr>
                <w:rFonts w:ascii="仿宋_GB2312" w:hAnsi="宋体" w:eastAsia="仿宋_GB2312"/>
                <w:color w:val="000000"/>
                <w:sz w:val="18"/>
                <w:szCs w:val="18"/>
              </w:rPr>
            </w:pPr>
          </w:p>
        </w:tc>
        <w:tc>
          <w:tcPr>
            <w:tcW w:w="551" w:type="dxa"/>
            <w:vMerge w:val="continue"/>
            <w:shd w:val="clear" w:color="auto" w:fill="auto"/>
            <w:vAlign w:val="center"/>
          </w:tcPr>
          <w:p>
            <w:pPr>
              <w:jc w:val="center"/>
              <w:rPr>
                <w:rFonts w:ascii="仿宋_GB2312" w:hAnsi="宋体" w:eastAsia="仿宋_GB2312"/>
                <w:color w:val="000000"/>
                <w:sz w:val="18"/>
                <w:szCs w:val="18"/>
              </w:rPr>
            </w:pPr>
          </w:p>
        </w:tc>
        <w:tc>
          <w:tcPr>
            <w:tcW w:w="720" w:type="dxa"/>
            <w:vMerge w:val="continue"/>
            <w:shd w:val="clear" w:color="auto" w:fill="auto"/>
            <w:vAlign w:val="center"/>
          </w:tcPr>
          <w:p>
            <w:pPr>
              <w:jc w:val="center"/>
              <w:rPr>
                <w:rFonts w:ascii="仿宋_GB2312" w:hAnsi="宋体" w:eastAsia="仿宋_GB2312"/>
                <w:color w:val="000000"/>
                <w:sz w:val="18"/>
                <w:szCs w:val="18"/>
              </w:rPr>
            </w:pPr>
          </w:p>
        </w:tc>
      </w:tr>
    </w:tbl>
    <w:p>
      <w:pPr>
        <w:rPr>
          <w:rFonts w:ascii="黑体" w:hAnsi="黑体" w:eastAsia="黑体" w:cs="黑体"/>
          <w:b/>
          <w:sz w:val="18"/>
          <w:szCs w:val="1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hmOGVkM2Y1ZTFlOTA3MjlkNGNjOTI5ZTk5YmIyYjkifQ=="/>
  </w:docVars>
  <w:rsids>
    <w:rsidRoot w:val="003720C8"/>
    <w:rsid w:val="00034605"/>
    <w:rsid w:val="00096376"/>
    <w:rsid w:val="000A0373"/>
    <w:rsid w:val="0011768B"/>
    <w:rsid w:val="00144D31"/>
    <w:rsid w:val="001B2C1C"/>
    <w:rsid w:val="00252717"/>
    <w:rsid w:val="002F3228"/>
    <w:rsid w:val="003720C8"/>
    <w:rsid w:val="004272B4"/>
    <w:rsid w:val="00465B0E"/>
    <w:rsid w:val="004C6272"/>
    <w:rsid w:val="004F7388"/>
    <w:rsid w:val="005A116B"/>
    <w:rsid w:val="006A75BB"/>
    <w:rsid w:val="006F0A72"/>
    <w:rsid w:val="00813CE4"/>
    <w:rsid w:val="00841A42"/>
    <w:rsid w:val="00891724"/>
    <w:rsid w:val="00D10256"/>
    <w:rsid w:val="00DD5AD8"/>
    <w:rsid w:val="00E65F4C"/>
    <w:rsid w:val="00F710C7"/>
    <w:rsid w:val="0EBF0530"/>
    <w:rsid w:val="10F11F4C"/>
    <w:rsid w:val="145459EF"/>
    <w:rsid w:val="31D110FB"/>
    <w:rsid w:val="320F1026"/>
    <w:rsid w:val="40795535"/>
    <w:rsid w:val="4DC96E40"/>
    <w:rsid w:val="6699448F"/>
    <w:rsid w:val="6B0E57C3"/>
    <w:rsid w:val="6CEE0506"/>
    <w:rsid w:val="74694C90"/>
    <w:rsid w:val="75144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rFonts w:cs="Times New Roman"/>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0"/>
    <w:semiHidden/>
    <w:unhideWhenUsed/>
    <w:qFormat/>
    <w:uiPriority w:val="99"/>
    <w:pPr>
      <w:ind w:left="100" w:leftChars="25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99"/>
    <w:rPr>
      <w:rFonts w:ascii="Calibri" w:hAnsi="Calibri" w:eastAsia="宋体" w:cs="Arial"/>
      <w:kern w:val="2"/>
      <w:sz w:val="18"/>
      <w:szCs w:val="18"/>
    </w:rPr>
  </w:style>
  <w:style w:type="character" w:customStyle="1" w:styleId="9">
    <w:name w:val="页脚 Char"/>
    <w:basedOn w:val="7"/>
    <w:link w:val="4"/>
    <w:uiPriority w:val="99"/>
    <w:rPr>
      <w:rFonts w:ascii="Calibri" w:hAnsi="Calibri" w:eastAsia="宋体" w:cs="Arial"/>
      <w:kern w:val="2"/>
      <w:sz w:val="18"/>
      <w:szCs w:val="18"/>
    </w:rPr>
  </w:style>
  <w:style w:type="character" w:customStyle="1" w:styleId="10">
    <w:name w:val="日期 Char"/>
    <w:basedOn w:val="7"/>
    <w:link w:val="3"/>
    <w:semiHidden/>
    <w:qFormat/>
    <w:uiPriority w:val="99"/>
    <w:rPr>
      <w:rFonts w:ascii="Calibri" w:hAnsi="Calibri" w:eastAsia="宋体" w:cs="Arial"/>
      <w:kern w:val="2"/>
      <w:sz w:val="21"/>
      <w:szCs w:val="22"/>
    </w:rPr>
  </w:style>
  <w:style w:type="character" w:customStyle="1" w:styleId="11">
    <w:name w:val="标题 1 Char"/>
    <w:basedOn w:val="7"/>
    <w:link w:val="2"/>
    <w:uiPriority w:val="9"/>
    <w:rPr>
      <w:rFonts w:ascii="Calibri" w:hAnsi="Calibri" w:eastAsia="宋体" w:cs="Times New Roman"/>
      <w:b/>
      <w:bCs/>
      <w:kern w:val="44"/>
      <w:sz w:val="44"/>
      <w:szCs w:val="44"/>
    </w:rPr>
  </w:style>
  <w:style w:type="paragraph" w:styleId="12">
    <w:name w:val="List Paragraph"/>
    <w:basedOn w:val="1"/>
    <w:qFormat/>
    <w:uiPriority w:val="34"/>
    <w:pPr>
      <w:ind w:firstLine="420" w:firstLineChars="200"/>
    </w:pPr>
    <w:rPr>
      <w:rFonts w:eastAsia="仿宋_GB2312" w:asciiTheme="minorHAnsi" w:hAnsiTheme="minorHAnsi" w:cstheme="minorBidi"/>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1037</Words>
  <Characters>1047</Characters>
  <Lines>9</Lines>
  <Paragraphs>2</Paragraphs>
  <TotalTime>0</TotalTime>
  <ScaleCrop>false</ScaleCrop>
  <LinksUpToDate>false</LinksUpToDate>
  <CharactersWithSpaces>1137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2020-12-11T07:09:00Z</dcterms:created>
  <dc:creator>Administrator</dc:creator>
  <cp:lastModifiedBy>Administrator</cp:lastModifiedBy>
  <cp:lastPrinted>2020-09-04T02:51:00Z</cp:lastPrinted>
  <dcterms:modified xsi:type="dcterms:W3CDTF">2022-10-08T03:23:15Z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9D5834301A404ABCAD3292F76D32E661</vt:lpwstr>
  </property>
</Properties>
</file>