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黑体" w:hAnsi="黑体" w:eastAsia="黑体"/>
          <w:sz w:val="44"/>
          <w:szCs w:val="44"/>
        </w:rPr>
      </w:pPr>
      <w:bookmarkStart w:id="0" w:name="_GoBack"/>
      <w:r>
        <w:rPr>
          <w:rFonts w:hint="eastAsia" w:ascii="黑体" w:hAnsi="黑体" w:eastAsia="黑体"/>
          <w:sz w:val="44"/>
          <w:szCs w:val="44"/>
        </w:rPr>
        <w:t>社会保险领域</w:t>
      </w:r>
      <w:bookmarkEnd w:id="0"/>
      <w:r>
        <w:rPr>
          <w:rFonts w:hint="eastAsia" w:ascii="黑体" w:hAnsi="黑体" w:eastAsia="黑体"/>
          <w:sz w:val="44"/>
          <w:szCs w:val="44"/>
        </w:rPr>
        <w:t>政务公开标准目录</w:t>
      </w:r>
    </w:p>
    <w:tbl>
      <w:tblPr>
        <w:tblStyle w:val="5"/>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68"/>
        <w:gridCol w:w="1134"/>
        <w:gridCol w:w="2693"/>
        <w:gridCol w:w="2126"/>
        <w:gridCol w:w="1418"/>
        <w:gridCol w:w="1301"/>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序号</w:t>
            </w:r>
          </w:p>
        </w:tc>
        <w:tc>
          <w:tcPr>
            <w:tcW w:w="2002"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公开事项</w:t>
            </w:r>
          </w:p>
        </w:tc>
        <w:tc>
          <w:tcPr>
            <w:tcW w:w="2693"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公开内容（要素）</w:t>
            </w:r>
          </w:p>
        </w:tc>
        <w:tc>
          <w:tcPr>
            <w:tcW w:w="2126"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公开依据</w:t>
            </w:r>
          </w:p>
        </w:tc>
        <w:tc>
          <w:tcPr>
            <w:tcW w:w="1418"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公开时限</w:t>
            </w:r>
          </w:p>
        </w:tc>
        <w:tc>
          <w:tcPr>
            <w:tcW w:w="1301" w:type="dxa"/>
            <w:vMerge w:val="restart"/>
            <w:shd w:val="clear" w:color="auto" w:fill="auto"/>
            <w:vAlign w:val="center"/>
          </w:tcPr>
          <w:p>
            <w:pPr>
              <w:widowControl/>
              <w:jc w:val="left"/>
              <w:rPr>
                <w:rFonts w:ascii="仿宋" w:hAnsi="仿宋" w:eastAsia="仿宋"/>
                <w:b/>
                <w:bCs/>
                <w:color w:val="000000"/>
                <w:kern w:val="0"/>
                <w:sz w:val="15"/>
                <w:szCs w:val="15"/>
              </w:rPr>
            </w:pPr>
            <w:r>
              <w:rPr>
                <w:rFonts w:hint="eastAsia" w:ascii="仿宋" w:hAnsi="仿宋" w:eastAsia="仿宋"/>
                <w:b/>
                <w:bCs/>
                <w:color w:val="000000"/>
                <w:kern w:val="0"/>
                <w:sz w:val="15"/>
                <w:szCs w:val="15"/>
              </w:rPr>
              <w:t>公开主体</w:t>
            </w:r>
          </w:p>
        </w:tc>
        <w:tc>
          <w:tcPr>
            <w:tcW w:w="1496" w:type="dxa"/>
            <w:vMerge w:val="restart"/>
            <w:shd w:val="clear" w:color="auto" w:fill="auto"/>
            <w:vAlign w:val="center"/>
          </w:tcPr>
          <w:p>
            <w:pPr>
              <w:widowControl/>
              <w:jc w:val="left"/>
              <w:rPr>
                <w:rFonts w:ascii="仿宋" w:hAnsi="仿宋" w:eastAsia="仿宋"/>
                <w:b/>
                <w:bCs/>
                <w:color w:val="000000"/>
                <w:kern w:val="0"/>
                <w:sz w:val="15"/>
                <w:szCs w:val="15"/>
              </w:rPr>
            </w:pPr>
            <w:r>
              <w:rPr>
                <w:rFonts w:hint="eastAsia" w:ascii="仿宋" w:hAnsi="仿宋" w:eastAsia="仿宋"/>
                <w:b/>
                <w:bCs/>
                <w:color w:val="000000"/>
                <w:kern w:val="0"/>
                <w:sz w:val="15"/>
                <w:szCs w:val="15"/>
              </w:rPr>
              <w:t>公开渠道和载体</w:t>
            </w:r>
          </w:p>
        </w:tc>
        <w:tc>
          <w:tcPr>
            <w:tcW w:w="1440"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公开对象</w:t>
            </w:r>
          </w:p>
        </w:tc>
        <w:tc>
          <w:tcPr>
            <w:tcW w:w="1260"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公开方式</w:t>
            </w:r>
          </w:p>
        </w:tc>
        <w:tc>
          <w:tcPr>
            <w:tcW w:w="1440"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rPr>
                <w:rFonts w:ascii="仿宋" w:hAnsi="仿宋" w:eastAsia="仿宋"/>
                <w:b/>
                <w:bCs/>
                <w:color w:val="000000"/>
                <w:kern w:val="0"/>
                <w:sz w:val="15"/>
                <w:szCs w:val="15"/>
              </w:rPr>
            </w:pPr>
          </w:p>
        </w:tc>
        <w:tc>
          <w:tcPr>
            <w:tcW w:w="868"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一级事项</w:t>
            </w:r>
          </w:p>
        </w:tc>
        <w:tc>
          <w:tcPr>
            <w:tcW w:w="1134"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二级事项</w:t>
            </w:r>
          </w:p>
        </w:tc>
        <w:tc>
          <w:tcPr>
            <w:tcW w:w="2693" w:type="dxa"/>
            <w:vMerge w:val="continue"/>
            <w:vAlign w:val="center"/>
          </w:tcPr>
          <w:p>
            <w:pPr>
              <w:widowControl/>
              <w:jc w:val="center"/>
              <w:rPr>
                <w:rFonts w:ascii="仿宋" w:hAnsi="仿宋" w:eastAsia="仿宋"/>
                <w:b/>
                <w:bCs/>
                <w:color w:val="000000"/>
                <w:kern w:val="0"/>
                <w:sz w:val="15"/>
                <w:szCs w:val="15"/>
              </w:rPr>
            </w:pPr>
          </w:p>
        </w:tc>
        <w:tc>
          <w:tcPr>
            <w:tcW w:w="2126" w:type="dxa"/>
            <w:vMerge w:val="continue"/>
            <w:vAlign w:val="center"/>
          </w:tcPr>
          <w:p>
            <w:pPr>
              <w:widowControl/>
              <w:jc w:val="center"/>
              <w:rPr>
                <w:rFonts w:ascii="仿宋" w:hAnsi="仿宋" w:eastAsia="仿宋"/>
                <w:b/>
                <w:bCs/>
                <w:color w:val="000000"/>
                <w:kern w:val="0"/>
                <w:sz w:val="15"/>
                <w:szCs w:val="15"/>
              </w:rPr>
            </w:pPr>
          </w:p>
        </w:tc>
        <w:tc>
          <w:tcPr>
            <w:tcW w:w="1418" w:type="dxa"/>
            <w:vMerge w:val="continue"/>
            <w:vAlign w:val="center"/>
          </w:tcPr>
          <w:p>
            <w:pPr>
              <w:widowControl/>
              <w:jc w:val="center"/>
              <w:rPr>
                <w:rFonts w:ascii="仿宋" w:hAnsi="仿宋" w:eastAsia="仿宋"/>
                <w:b/>
                <w:bCs/>
                <w:color w:val="000000"/>
                <w:kern w:val="0"/>
                <w:sz w:val="15"/>
                <w:szCs w:val="15"/>
              </w:rPr>
            </w:pPr>
          </w:p>
        </w:tc>
        <w:tc>
          <w:tcPr>
            <w:tcW w:w="1301" w:type="dxa"/>
            <w:vMerge w:val="continue"/>
            <w:vAlign w:val="center"/>
          </w:tcPr>
          <w:p>
            <w:pPr>
              <w:widowControl/>
              <w:jc w:val="left"/>
              <w:rPr>
                <w:rFonts w:ascii="仿宋" w:hAnsi="仿宋" w:eastAsia="仿宋"/>
                <w:b/>
                <w:bCs/>
                <w:color w:val="000000"/>
                <w:kern w:val="0"/>
                <w:sz w:val="15"/>
                <w:szCs w:val="15"/>
              </w:rPr>
            </w:pPr>
          </w:p>
        </w:tc>
        <w:tc>
          <w:tcPr>
            <w:tcW w:w="1496" w:type="dxa"/>
            <w:vMerge w:val="continue"/>
            <w:vAlign w:val="center"/>
          </w:tcPr>
          <w:p>
            <w:pPr>
              <w:widowControl/>
              <w:jc w:val="left"/>
              <w:rPr>
                <w:rFonts w:ascii="仿宋" w:hAnsi="仿宋" w:eastAsia="仿宋"/>
                <w:b/>
                <w:bCs/>
                <w:color w:val="000000"/>
                <w:kern w:val="0"/>
                <w:sz w:val="15"/>
                <w:szCs w:val="15"/>
              </w:rPr>
            </w:pPr>
          </w:p>
        </w:tc>
        <w:tc>
          <w:tcPr>
            <w:tcW w:w="72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全社会</w:t>
            </w:r>
          </w:p>
        </w:tc>
        <w:tc>
          <w:tcPr>
            <w:tcW w:w="72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特定群众</w:t>
            </w:r>
          </w:p>
        </w:tc>
        <w:tc>
          <w:tcPr>
            <w:tcW w:w="54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主动</w:t>
            </w:r>
          </w:p>
        </w:tc>
        <w:tc>
          <w:tcPr>
            <w:tcW w:w="72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依申请公开</w:t>
            </w:r>
          </w:p>
        </w:tc>
        <w:tc>
          <w:tcPr>
            <w:tcW w:w="72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县级</w:t>
            </w:r>
          </w:p>
        </w:tc>
        <w:tc>
          <w:tcPr>
            <w:tcW w:w="72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ascii="仿宋" w:hAnsi="仿宋" w:eastAsia="仿宋"/>
                <w:sz w:val="15"/>
                <w:szCs w:val="15"/>
              </w:rPr>
              <w:t>1</w:t>
            </w:r>
          </w:p>
        </w:tc>
        <w:tc>
          <w:tcPr>
            <w:tcW w:w="86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社会保险登记</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机关事业单位社会保险登记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《中华人民共和国政府信息公开条例》、《社会保险法》、《国务院关于机关事业单位工作人员养老保险制度改革的决定》</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社会保险登记</w:t>
            </w:r>
          </w:p>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机关事业参保单位注销</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3</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机关事业单位职工参保登记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灵活就业人员参保登记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4</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城乡居民养老保险参保登记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5</w:t>
            </w:r>
          </w:p>
        </w:tc>
        <w:tc>
          <w:tcPr>
            <w:tcW w:w="86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社会保险参保信息维护</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机关事业参保单位基本信息变更（单位项目基本信息变更）</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6</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社会保险参保信息维护</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（机关事业单位参保人员）个人基本信息变更</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（城乡居民参保人员）基本信息变更</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7</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社会保险参保信息维护</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（机关事业单位）养老保险待遇发放账户维护申请</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（城乡居民）养老保险待遇发放账户维护申请</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8</w:t>
            </w:r>
          </w:p>
        </w:tc>
        <w:tc>
          <w:tcPr>
            <w:tcW w:w="86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社会保险缴费申报</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（机关事业单位）缴费人员增减申报</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9</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社会保险缴费申报</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社会保险缴费申报与变更（机关事业单位年度工资申报、机关事业单位征缴计划生成）</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社会保险缴费申报与变更（城乡居民缴费核定）</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10</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社会保险缴费申报</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社会保险费断缴补缴申报（机关事业养老保险费断缴补缴申报）</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社会保险费断缴补缴申报（城乡居民养老保险费断缴补缴申报）</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11</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社会保险参保缴费记录查询</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（机关事业单位）个人权益记录查询打印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hint="eastAsia" w:ascii="仿宋" w:hAnsi="仿宋" w:eastAsia="仿宋"/>
                <w:sz w:val="15"/>
                <w:szCs w:val="15"/>
              </w:rPr>
              <w:br w:type="page"/>
            </w:r>
            <w:r>
              <w:rPr>
                <w:rFonts w:hint="eastAsia" w:ascii="仿宋" w:hAnsi="仿宋" w:eastAsia="仿宋"/>
                <w:sz w:val="15"/>
                <w:szCs w:val="15"/>
              </w:rPr>
              <w:t>、《社会保险法》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（城乡居民）个人权益记录查询打印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hint="eastAsia" w:ascii="仿宋" w:hAnsi="仿宋" w:eastAsia="仿宋"/>
                <w:sz w:val="15"/>
                <w:szCs w:val="15"/>
              </w:rPr>
              <w:br w:type="page"/>
            </w:r>
            <w:r>
              <w:rPr>
                <w:rFonts w:hint="eastAsia" w:ascii="仿宋" w:hAnsi="仿宋" w:eastAsia="仿宋"/>
                <w:sz w:val="15"/>
                <w:szCs w:val="15"/>
              </w:rPr>
              <w:t>、《社会保险法》</w:t>
            </w:r>
            <w:r>
              <w:rPr>
                <w:rFonts w:hint="eastAsia" w:ascii="仿宋" w:hAnsi="仿宋" w:eastAsia="仿宋"/>
                <w:sz w:val="15"/>
                <w:szCs w:val="15"/>
              </w:rPr>
              <w:br w:type="page"/>
            </w:r>
            <w:r>
              <w:rPr>
                <w:rFonts w:hint="eastAsia" w:ascii="仿宋" w:hAnsi="仿宋" w:eastAsia="仿宋"/>
                <w:sz w:val="15"/>
                <w:szCs w:val="15"/>
              </w:rPr>
              <w:t>、《社会保险费征缴暂行条例》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12</w:t>
            </w:r>
          </w:p>
        </w:tc>
        <w:tc>
          <w:tcPr>
            <w:tcW w:w="86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职工正常退休(职)申请（机关事业单位工作人员基本养老保险待遇申领）</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13</w:t>
            </w:r>
          </w:p>
        </w:tc>
        <w:tc>
          <w:tcPr>
            <w:tcW w:w="86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职工提前退休（退职）申请（机关事业单位职工提前退休待遇申领）</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14</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城乡居民养老保险待遇申领</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15</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暂停（机关事业）养老保险待遇申请</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暂停（城乡居民）养老保险待遇申请</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16</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恢复（机关事业）养老保险待遇申请</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恢复（城乡居民）养老保险待遇申请</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17</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（机关事业养老保险）个人账户一次性待遇申领</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spacing w:line="240" w:lineRule="exact"/>
              <w:jc w:val="center"/>
              <w:rPr>
                <w:rFonts w:ascii="仿宋" w:hAnsi="仿宋" w:eastAsia="仿宋"/>
                <w:sz w:val="15"/>
                <w:szCs w:val="15"/>
              </w:rPr>
            </w:pP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（城乡居民养老保险）个人账户一次性待遇申领</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18</w:t>
            </w:r>
          </w:p>
        </w:tc>
        <w:tc>
          <w:tcPr>
            <w:tcW w:w="868" w:type="dxa"/>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丧葬补助金、抚恤金申领（城乡居民养老保险丧葬补助金申领）</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p>
            <w:pPr>
              <w:spacing w:line="240" w:lineRule="exact"/>
              <w:jc w:val="center"/>
              <w:rPr>
                <w:rFonts w:ascii="仿宋" w:hAnsi="仿宋" w:eastAsia="仿宋"/>
                <w:sz w:val="15"/>
                <w:szCs w:val="15"/>
              </w:rPr>
            </w:pP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新城区人力资源和社会保障局、新城区退役军人事务局、保合少镇、各街道办事处、鸿盛工业园区管委会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19</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（城乡）居民养老保险注销登记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《信息公开条例》、《社会保险法》、《劳动保险条例》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20</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遗属待遇申领</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《信息公开条例》、《社会保险法》、《劳动保险条例》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新城区退役军人事务局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21</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（机关事业养老保险参保人员）病残津贴申领</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《信息公开条例》、《社会保险法》、《劳动保险条例》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22</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机关事业单位养老保险关系转移接续申请</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《中华人民共和国政府信息公开条例》、《社会保险法》、《人力资源社会保障部财政部关于机关事业单位基本养老保险关系和职业年金转移接续有关问题的通知》</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23</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城乡居民基本养老保险关系转移接续申请</w:t>
            </w:r>
          </w:p>
        </w:tc>
        <w:tc>
          <w:tcPr>
            <w:tcW w:w="2693"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《中华人民共和国政府信息公开条例》、《社会保险法》、《劳动保险条例》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24</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机关事业单位基本养老保险与城镇企业职工基本养老保险互转申请</w:t>
            </w:r>
          </w:p>
        </w:tc>
        <w:tc>
          <w:tcPr>
            <w:tcW w:w="2693" w:type="dxa"/>
            <w:vMerge w:val="continue"/>
            <w:vAlign w:val="center"/>
          </w:tcPr>
          <w:p>
            <w:pPr>
              <w:spacing w:line="240" w:lineRule="exact"/>
              <w:jc w:val="center"/>
              <w:rPr>
                <w:rFonts w:ascii="仿宋" w:hAnsi="仿宋" w:eastAsia="仿宋"/>
                <w:sz w:val="15"/>
                <w:szCs w:val="15"/>
              </w:rPr>
            </w:pP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《中华人民共和国政府信息公开条例》、《社会保险法》、《人力资源社会保障部财政部关于机关事业单位基本养老保险关系和职业年金转移接续有关问题的通知》</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25</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xml:space="preserve">城镇职工基本养老保险与城乡居民基本养老保险制度衔接申请  </w:t>
            </w:r>
          </w:p>
        </w:tc>
        <w:tc>
          <w:tcPr>
            <w:tcW w:w="2693" w:type="dxa"/>
            <w:vMerge w:val="continue"/>
            <w:vAlign w:val="center"/>
          </w:tcPr>
          <w:p>
            <w:pPr>
              <w:spacing w:line="240" w:lineRule="exact"/>
              <w:jc w:val="center"/>
              <w:rPr>
                <w:rFonts w:ascii="仿宋" w:hAnsi="仿宋" w:eastAsia="仿宋"/>
                <w:sz w:val="15"/>
                <w:szCs w:val="15"/>
              </w:rPr>
            </w:pP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《中华人民共和国政府信息公开条例》、《社会保险法》《人力资源社会保障部财政部关于印发＜城乡养老保险制度衔接暂行办法＞的通知》</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26</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养老保险服务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军地养老保险关系转移接续申请</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《中华人民共和国政府信息公开条例》、《社会保险法》、《人力资源社会保障部财政部总参谋部总政治部总后勤部关于军人退役基本养老保险关系转移接续有关问题的通知》</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27</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多重养老保险关系个人账户退费</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事项名称、事项简述、办理材料、办理方式、办理时限、结果送达、收费依据及标准、办事时间、办理机构及地点、咨询查询途径、监督投诉渠道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《中华人民共和国政府信息公开条例》、《社会保险法》、《人力资源和社会保障部＜关于贯彻落实国务院办公厅转发城镇企业职工基本养老保险关系转移接续暂行办法的通知》</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新城区人力资源和社会保障局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28</w:t>
            </w:r>
          </w:p>
        </w:tc>
        <w:tc>
          <w:tcPr>
            <w:tcW w:w="86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城乡居民基本医疗保险</w:t>
            </w:r>
          </w:p>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ascii="仿宋" w:hAnsi="仿宋" w:eastAsia="仿宋"/>
                <w:sz w:val="15"/>
                <w:szCs w:val="15"/>
              </w:rPr>
              <w:t>城乡居民基本医疗保险参保登记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1、事项名称、2受理条件3.办理材料4.办理流程5办理时限6设定依据7办事时间8办理机构及地点9咨询查询途径10监督投诉渠</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中华人民共和国社会保险法</w:t>
            </w:r>
            <w:r>
              <w:rPr>
                <w:rFonts w:ascii="仿宋" w:hAnsi="仿宋" w:eastAsia="仿宋"/>
                <w:sz w:val="15"/>
                <w:szCs w:val="15"/>
              </w:rPr>
              <w:t>中华人民共和国主席令第三十五号</w:t>
            </w:r>
            <w:r>
              <w:rPr>
                <w:rFonts w:hint="eastAsia" w:ascii="仿宋" w:hAnsi="仿宋" w:eastAsia="仿宋"/>
                <w:sz w:val="15"/>
                <w:szCs w:val="15"/>
              </w:rPr>
              <w:t>、呼和浩特市人民政府关于印发呼和浩特市城乡居民基本医疗保险实施办法的通知、关于《呼和浩特市城乡居民基本医疗保险实施细则》的通知</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公开事项信息形成或变更之日起30个工作日内公开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新城区医疗保障局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hint="eastAsia"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r>
              <w:rPr>
                <w:rFonts w:hint="eastAsia" w:ascii="仿宋" w:hAnsi="仿宋" w:eastAsia="仿宋"/>
                <w:sz w:val="15"/>
                <w:szCs w:val="15"/>
              </w:rPr>
              <w:t>■社区村、村公示栏</w:t>
            </w:r>
          </w:p>
          <w:p>
            <w:pPr>
              <w:spacing w:line="240" w:lineRule="exact"/>
              <w:jc w:val="left"/>
              <w:rPr>
                <w:rFonts w:ascii="仿宋" w:hAnsi="仿宋" w:eastAsia="仿宋"/>
                <w:sz w:val="15"/>
                <w:szCs w:val="15"/>
              </w:rPr>
            </w:pPr>
            <w:r>
              <w:rPr>
                <w:rFonts w:hint="eastAsia" w:ascii="仿宋" w:hAnsi="仿宋" w:eastAsia="仿宋"/>
                <w:sz w:val="15"/>
                <w:szCs w:val="15"/>
              </w:rPr>
              <w:t xml:space="preserve">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29</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异地长期居住人员备案登记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1事项名称2设立条件3办理材料4办理流程5办理时限6设定依据7办事时间8办理机构及地点9咨询查询途径10监督投诉渠道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中华人民共和国社会保险法中华人民共和国主席令第三十五号、呼和浩特市人民政府关于印发呼和浩特市城乡居民基本医疗保险实施办法的通知、关于《呼和浩特市城乡居民基本医疗保险实施细则》的通知</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公开事项信息形成或变更之日起30个工作日内公开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新城区医疗保障局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■政府网站</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hint="eastAsia"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r>
              <w:rPr>
                <w:rFonts w:hint="eastAsia" w:ascii="仿宋" w:hAnsi="仿宋" w:eastAsia="仿宋"/>
                <w:sz w:val="15"/>
                <w:szCs w:val="15"/>
              </w:rPr>
              <w:t>■社区村、村公示栏</w:t>
            </w:r>
          </w:p>
          <w:p>
            <w:pPr>
              <w:spacing w:line="240" w:lineRule="exact"/>
              <w:jc w:val="left"/>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30</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常驻异地工作人员备案登记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1事项名称2设立条件3办理材料4办理流程5办理时限6设定依据7办事时间8办理机构及地点9咨询查询途径10监督投诉渠道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中华人民共和国社会保险法中华人民共和国主席令第三十五号、呼和浩特市人民政府关于印发呼和浩特市城乡居民基本医疗保险实施办法的通知、关于《呼和浩特市城乡居民基本医疗保险实施细则》的通知</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公开事项信息形成或变更之日起30个工作日内公开</w:t>
            </w:r>
          </w:p>
          <w:p>
            <w:pPr>
              <w:spacing w:line="240" w:lineRule="exact"/>
              <w:jc w:val="center"/>
              <w:rPr>
                <w:rFonts w:ascii="仿宋" w:hAnsi="仿宋" w:eastAsia="仿宋"/>
                <w:sz w:val="15"/>
                <w:szCs w:val="15"/>
              </w:rPr>
            </w:pP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新城区医疗保障局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■政府网站</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hint="eastAsia"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r>
              <w:rPr>
                <w:rFonts w:hint="eastAsia" w:ascii="仿宋" w:hAnsi="仿宋" w:eastAsia="仿宋"/>
                <w:sz w:val="15"/>
                <w:szCs w:val="15"/>
              </w:rPr>
              <w:t>■社区村、村公示栏</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31</w:t>
            </w:r>
          </w:p>
        </w:tc>
        <w:tc>
          <w:tcPr>
            <w:tcW w:w="868" w:type="dxa"/>
            <w:vMerge w:val="restart"/>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异地转（急）诊人员备案登记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1事项名称2设立条件3办理材料4办理流程5办理时限6设定依据7办事时间8办理机构及地点9咨询查询途径10监督投诉渠道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中华人民共和国社会保险法中华人民共和国主席令第三十五号、呼和浩特市人民政府关于印发呼和浩特市城乡居民基本医疗保险实施办法的通知、关于《呼和浩特市城乡居民基本医疗保险实施细则》的通知</w:t>
            </w:r>
          </w:p>
          <w:p>
            <w:pPr>
              <w:spacing w:line="240" w:lineRule="exact"/>
              <w:jc w:val="center"/>
              <w:rPr>
                <w:rFonts w:ascii="仿宋" w:hAnsi="仿宋" w:eastAsia="仿宋"/>
                <w:sz w:val="15"/>
                <w:szCs w:val="15"/>
              </w:rPr>
            </w:pPr>
            <w:r>
              <w:rPr>
                <w:rFonts w:hint="eastAsia" w:ascii="仿宋" w:hAnsi="仿宋" w:eastAsia="仿宋"/>
                <w:sz w:val="15"/>
                <w:szCs w:val="15"/>
              </w:rPr>
              <w:t>《行政许可法》；《中华人民共和国政府信息公开条例》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信息形成或变更之日起30个工作日内公开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新城区医疗保障局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■政府网站</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hint="eastAsia"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r>
              <w:rPr>
                <w:rFonts w:hint="eastAsia" w:ascii="仿宋" w:hAnsi="仿宋" w:eastAsia="仿宋"/>
                <w:sz w:val="15"/>
                <w:szCs w:val="15"/>
              </w:rPr>
              <w:t>■社区村、村公示栏</w:t>
            </w:r>
          </w:p>
          <w:p>
            <w:pPr>
              <w:spacing w:line="240" w:lineRule="exact"/>
              <w:jc w:val="left"/>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32</w:t>
            </w:r>
          </w:p>
        </w:tc>
        <w:tc>
          <w:tcPr>
            <w:tcW w:w="868" w:type="dxa"/>
            <w:vMerge w:val="continue"/>
            <w:shd w:val="clear" w:color="auto" w:fill="auto"/>
            <w:vAlign w:val="center"/>
          </w:tcPr>
          <w:p>
            <w:pPr>
              <w:spacing w:line="240" w:lineRule="exact"/>
              <w:jc w:val="center"/>
              <w:rPr>
                <w:rFonts w:ascii="仿宋" w:hAnsi="仿宋" w:eastAsia="仿宋"/>
                <w:sz w:val="15"/>
                <w:szCs w:val="15"/>
              </w:rPr>
            </w:pP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死亡前门（急）诊报销</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1事项名称2设立条件3办理材料4办理流程5办理时限6设定依据7办事时间8办理机构及地点9咨询查询途径10监督投诉渠道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中华人民共和国社会保险法中华人民共和国主席令第三十五号、呼和浩特市人民政府关于印发呼和浩特市城乡居民基本医疗保险实施办法的通知、关于《呼和浩特市城乡居民基本医疗保险实施细则》的通知</w:t>
            </w:r>
          </w:p>
          <w:p>
            <w:pPr>
              <w:spacing w:line="240" w:lineRule="exact"/>
              <w:jc w:val="center"/>
              <w:rPr>
                <w:rFonts w:ascii="仿宋" w:hAnsi="仿宋" w:eastAsia="仿宋"/>
                <w:sz w:val="15"/>
                <w:szCs w:val="15"/>
              </w:rPr>
            </w:pPr>
            <w:r>
              <w:rPr>
                <w:rFonts w:hint="eastAsia" w:ascii="仿宋" w:hAnsi="仿宋" w:eastAsia="仿宋"/>
                <w:sz w:val="15"/>
                <w:szCs w:val="15"/>
              </w:rPr>
              <w:t>《行政许可法》；《中华人民共和国政府信息公开条例》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信息形成或变更之日起30个工作日内公开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新城区医疗保障局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■政府网站</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hint="eastAsia"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r>
              <w:rPr>
                <w:rFonts w:hint="eastAsia" w:ascii="仿宋" w:hAnsi="仿宋" w:eastAsia="仿宋"/>
                <w:sz w:val="15"/>
                <w:szCs w:val="15"/>
              </w:rPr>
              <w:t>■社区村、村公示栏</w:t>
            </w:r>
          </w:p>
          <w:p>
            <w:pPr>
              <w:spacing w:line="240" w:lineRule="exact"/>
              <w:jc w:val="left"/>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33</w:t>
            </w:r>
          </w:p>
        </w:tc>
        <w:tc>
          <w:tcPr>
            <w:tcW w:w="868" w:type="dxa"/>
            <w:shd w:val="clear" w:color="auto" w:fill="auto"/>
            <w:vAlign w:val="center"/>
          </w:tcPr>
          <w:p>
            <w:pPr>
              <w:spacing w:line="240" w:lineRule="exact"/>
              <w:jc w:val="center"/>
              <w:rPr>
                <w:rFonts w:ascii="仿宋" w:hAnsi="仿宋" w:eastAsia="仿宋"/>
                <w:sz w:val="15"/>
                <w:szCs w:val="15"/>
              </w:rPr>
            </w:pPr>
          </w:p>
          <w:p>
            <w:pPr>
              <w:spacing w:line="240" w:lineRule="exact"/>
              <w:jc w:val="center"/>
              <w:rPr>
                <w:rFonts w:ascii="仿宋" w:hAnsi="仿宋" w:eastAsia="仿宋"/>
                <w:sz w:val="15"/>
                <w:szCs w:val="15"/>
              </w:rPr>
            </w:pPr>
            <w:r>
              <w:rPr>
                <w:rFonts w:hint="eastAsia" w:ascii="仿宋" w:hAnsi="仿宋" w:eastAsia="仿宋"/>
                <w:sz w:val="15"/>
                <w:szCs w:val="15"/>
              </w:rPr>
              <w:t>基本医疗保险</w:t>
            </w:r>
          </w:p>
          <w:p>
            <w:pPr>
              <w:spacing w:line="240" w:lineRule="exact"/>
              <w:jc w:val="center"/>
              <w:rPr>
                <w:rFonts w:ascii="仿宋" w:hAnsi="仿宋" w:eastAsia="仿宋"/>
                <w:sz w:val="15"/>
                <w:szCs w:val="15"/>
              </w:rPr>
            </w:pPr>
            <w:r>
              <w:rPr>
                <w:rFonts w:hint="eastAsia" w:ascii="仿宋" w:hAnsi="仿宋" w:eastAsia="仿宋"/>
                <w:sz w:val="15"/>
                <w:szCs w:val="15"/>
              </w:rPr>
              <w:t>待遇核准支付</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城乡居民参保人员异地住院报销</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1事项名称2设立条件3办理材料4办理流程5办理时限6设定依据7办事时间8办理机构及地点9咨询查询途径10监督投诉渠道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社会保险法中华人民共和国主席令第三十五号、呼和浩特市人民政府关于印发呼和浩特市城乡居民基本医疗保险实施办法的通知、关于《呼和浩特市城乡居民基本医疗保险实施细则》的通知、《行政许可法》；《中华人民共和国政府信息公开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信息形成或变更之日起30个工作日内公开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新城区医疗保障局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■政府网站</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hint="eastAsia"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r>
              <w:rPr>
                <w:rFonts w:hint="eastAsia" w:ascii="仿宋" w:hAnsi="仿宋" w:eastAsia="仿宋"/>
                <w:sz w:val="15"/>
                <w:szCs w:val="15"/>
              </w:rPr>
              <w:t>■社区村、村公示栏</w:t>
            </w:r>
          </w:p>
          <w:p>
            <w:pPr>
              <w:spacing w:line="240" w:lineRule="exact"/>
              <w:jc w:val="left"/>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34</w:t>
            </w:r>
          </w:p>
        </w:tc>
        <w:tc>
          <w:tcPr>
            <w:tcW w:w="86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城镇职工基本医疗保险</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职工参保登记</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1事项名称2设立条件3办理材料4办理流程5办理时限6设定依据7办事时间8办理机构及地点9咨询查询途径10监督投诉渠道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中华人民共和国社会保险法中华人民共和国主席令第三十五号、内蒙古自治区城镇基本医疗保险条例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信息形成或变更之日起30个工作日内公开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新城区医疗保障局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■政府网站</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hint="eastAsia"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r>
              <w:rPr>
                <w:rFonts w:hint="eastAsia" w:ascii="仿宋" w:hAnsi="仿宋" w:eastAsia="仿宋"/>
                <w:sz w:val="15"/>
                <w:szCs w:val="15"/>
              </w:rPr>
              <w:t>■社区村、村公示栏</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35</w:t>
            </w:r>
          </w:p>
        </w:tc>
        <w:tc>
          <w:tcPr>
            <w:tcW w:w="86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工伤保险服务</w:t>
            </w:r>
          </w:p>
        </w:tc>
        <w:tc>
          <w:tcPr>
            <w:tcW w:w="1134"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伤残待遇申领（一次性伤残补助金、伤残津贴和生活护理费）</w:t>
            </w:r>
          </w:p>
        </w:tc>
        <w:tc>
          <w:tcPr>
            <w:tcW w:w="2693"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事项名称、事项简述、办理材料、办理方式、办理时限、办事时间、办理机构及地点、咨询查询途径、监督投诉渠道</w:t>
            </w:r>
          </w:p>
        </w:tc>
        <w:tc>
          <w:tcPr>
            <w:tcW w:w="2126"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《中华人民共和国政府信息公开条例》、《社会保险法》、《工伤保险条例》</w:t>
            </w:r>
          </w:p>
        </w:tc>
        <w:tc>
          <w:tcPr>
            <w:tcW w:w="1418"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301"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新城区退役军人事务局</w:t>
            </w:r>
          </w:p>
        </w:tc>
        <w:tc>
          <w:tcPr>
            <w:tcW w:w="1496"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p>
            <w:pPr>
              <w:spacing w:line="240" w:lineRule="exact"/>
              <w:jc w:val="left"/>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4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bl>
    <w:p>
      <w:pPr>
        <w:spacing w:line="240" w:lineRule="exact"/>
        <w:jc w:val="center"/>
        <w:rPr>
          <w:rFonts w:ascii="仿宋" w:hAnsi="仿宋" w:eastAsia="仿宋"/>
          <w:sz w:val="15"/>
          <w:szCs w:val="15"/>
        </w:rPr>
      </w:pPr>
    </w:p>
    <w:p>
      <w:pPr>
        <w:spacing w:line="240" w:lineRule="exact"/>
        <w:jc w:val="center"/>
        <w:rPr>
          <w:rFonts w:ascii="仿宋" w:hAnsi="仿宋" w:eastAsia="仿宋"/>
          <w:sz w:val="15"/>
          <w:szCs w:val="15"/>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WE0YmJlZDkyZWViMDNhYjljZDQ4NTAyNzNlM2YifQ=="/>
  </w:docVars>
  <w:rsids>
    <w:rsidRoot w:val="007B6CFF"/>
    <w:rsid w:val="006F34BA"/>
    <w:rsid w:val="007B6CFF"/>
    <w:rsid w:val="007F7FF3"/>
    <w:rsid w:val="00DD1148"/>
    <w:rsid w:val="0A49735B"/>
    <w:rsid w:val="11EB52DC"/>
    <w:rsid w:val="205A5F4E"/>
    <w:rsid w:val="2C98358B"/>
    <w:rsid w:val="39D17051"/>
    <w:rsid w:val="3DD50472"/>
    <w:rsid w:val="49CA19B4"/>
    <w:rsid w:val="57BA3683"/>
    <w:rsid w:val="5CCB1A0C"/>
    <w:rsid w:val="64E8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标题 1 Char"/>
    <w:basedOn w:val="6"/>
    <w:link w:val="2"/>
    <w:uiPriority w:val="9"/>
    <w:rPr>
      <w:rFonts w:ascii="宋体" w:hAnsi="宋体" w:eastAsia="宋体" w:cs="宋体"/>
      <w:b/>
      <w:bCs/>
      <w:kern w:val="36"/>
      <w:sz w:val="48"/>
      <w:szCs w:val="48"/>
    </w:rPr>
  </w:style>
  <w:style w:type="paragraph" w:styleId="10">
    <w:name w:val="List Paragraph"/>
    <w:basedOn w:val="1"/>
    <w:qFormat/>
    <w:uiPriority w:val="34"/>
    <w:pPr>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8533</Words>
  <Characters>8612</Characters>
  <Lines>75</Lines>
  <Paragraphs>21</Paragraphs>
  <TotalTime>15</TotalTime>
  <ScaleCrop>false</ScaleCrop>
  <LinksUpToDate>false</LinksUpToDate>
  <CharactersWithSpaces>8843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2020-10-29T10:06:00Z</dcterms:created>
  <dc:creator>Administrator</dc:creator>
  <cp:lastModifiedBy>焦鑫</cp:lastModifiedBy>
  <dcterms:modified xsi:type="dcterms:W3CDTF">2024-05-15T03:34:25Z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FEB8FABAA7D1464A8BE55D341836EFBA_13</vt:lpwstr>
  </property>
</Properties>
</file>