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sz w:val="44"/>
          <w:szCs w:val="44"/>
        </w:rPr>
      </w:pPr>
      <w:r>
        <w:rPr>
          <w:rFonts w:hint="eastAsia" w:ascii="方正小标宋_GBK" w:eastAsia="方正小标宋_GBK"/>
          <w:sz w:val="44"/>
          <w:szCs w:val="44"/>
        </w:rPr>
        <w:t>2018年呼和浩特市新城区政府信息公开</w:t>
      </w:r>
    </w:p>
    <w:p>
      <w:pPr>
        <w:jc w:val="center"/>
        <w:rPr>
          <w:rFonts w:ascii="方正小标宋_GBK" w:eastAsia="方正小标宋_GBK"/>
          <w:sz w:val="44"/>
          <w:szCs w:val="44"/>
        </w:rPr>
      </w:pPr>
      <w:r>
        <w:rPr>
          <w:rFonts w:hint="eastAsia" w:ascii="方正小标宋_GBK" w:eastAsia="方正小标宋_GBK"/>
          <w:sz w:val="44"/>
          <w:szCs w:val="44"/>
        </w:rPr>
        <w:t>工作年度报告</w:t>
      </w:r>
    </w:p>
    <w:p>
      <w:pPr>
        <w:jc w:val="center"/>
        <w:rPr>
          <w:rFonts w:ascii="仿宋_GB2312" w:eastAsia="仿宋_GB2312"/>
          <w:b/>
          <w:sz w:val="32"/>
          <w:szCs w:val="32"/>
        </w:rPr>
      </w:pPr>
      <w:r>
        <w:rPr>
          <w:rFonts w:hint="eastAsia" w:ascii="仿宋_GB2312" w:eastAsia="仿宋_GB2312"/>
          <w:b/>
          <w:sz w:val="32"/>
          <w:szCs w:val="32"/>
        </w:rPr>
        <w:t>引  言</w:t>
      </w:r>
    </w:p>
    <w:p>
      <w:pPr>
        <w:ind w:firstLine="640" w:firstLineChars="200"/>
        <w:rPr>
          <w:rFonts w:ascii="仿宋_GB2312" w:eastAsia="仿宋_GB2312"/>
          <w:sz w:val="32"/>
          <w:szCs w:val="32"/>
        </w:rPr>
      </w:pPr>
      <w:r>
        <w:rPr>
          <w:rFonts w:hint="eastAsia" w:ascii="仿宋_GB2312" w:eastAsia="仿宋_GB2312"/>
          <w:sz w:val="32"/>
          <w:szCs w:val="32"/>
        </w:rPr>
        <w:t>根据《中华人民共和国政府信息公开条例》（以下简称条例）和自治区人民政府、呼和浩特市人民政府有关规定的要求，特向社会公布新城区2018年政府信息公开工作年度报告。本报告所列数据的统计期限自2018年1月1日起至2018年12月31日止。本年报的电子版通过我区政府门户网站全文公开，网址：http://www.xinchengqu.gov.cn。如对本年报有任何疑问，请与区政务公开办公室联系（地址：内蒙古呼和浩特市新城区成吉思汗大街29号，新城区人民政府党政综合办公大楼东附楼六楼，邮编：010051，电话：0471－6218605，电子邮箱：</w:t>
      </w:r>
      <w:r>
        <w:fldChar w:fldCharType="begin"/>
      </w:r>
      <w:r>
        <w:instrText xml:space="preserve"> HYPERLINK "mailto:XCWL605@163.com。" </w:instrText>
      </w:r>
      <w:r>
        <w:fldChar w:fldCharType="separate"/>
      </w:r>
      <w:r>
        <w:rPr>
          <w:rStyle w:val="9"/>
          <w:rFonts w:hint="eastAsia" w:ascii="仿宋_GB2312" w:eastAsia="仿宋_GB2312"/>
          <w:sz w:val="32"/>
          <w:szCs w:val="32"/>
        </w:rPr>
        <w:t>XCWL605@163.com。</w:t>
      </w:r>
      <w:r>
        <w:rPr>
          <w:rStyle w:val="9"/>
          <w:rFonts w:hint="eastAsia" w:ascii="仿宋_GB2312" w:eastAsia="仿宋_GB2312"/>
          <w:sz w:val="32"/>
          <w:szCs w:val="32"/>
        </w:rPr>
        <w:fldChar w:fldCharType="end"/>
      </w:r>
    </w:p>
    <w:p>
      <w:pPr>
        <w:ind w:firstLine="640" w:firstLineChars="200"/>
        <w:rPr>
          <w:rFonts w:ascii="黑体" w:hAnsi="黑体" w:eastAsia="黑体"/>
          <w:sz w:val="32"/>
          <w:szCs w:val="32"/>
        </w:rPr>
      </w:pPr>
      <w:r>
        <w:rPr>
          <w:rFonts w:hint="eastAsia" w:ascii="黑体" w:hAnsi="黑体" w:eastAsia="黑体"/>
          <w:sz w:val="32"/>
          <w:szCs w:val="32"/>
        </w:rPr>
        <w:t>一、概述</w:t>
      </w:r>
    </w:p>
    <w:p>
      <w:pPr>
        <w:ind w:firstLine="640" w:firstLineChars="200"/>
        <w:rPr>
          <w:rFonts w:ascii="仿宋_GB2312" w:eastAsia="仿宋_GB2312"/>
          <w:sz w:val="32"/>
          <w:szCs w:val="32"/>
        </w:rPr>
      </w:pPr>
      <w:r>
        <w:rPr>
          <w:rFonts w:hint="eastAsia" w:ascii="仿宋_GB2312" w:eastAsia="仿宋_GB2312"/>
          <w:sz w:val="32"/>
          <w:szCs w:val="32"/>
        </w:rPr>
        <w:t>2018年，我区深入党的十九大和十九届二中、三中全会精神，以习近平新时代中国特色社会主义思想为指引、认真落实党中央、国务院和自治区、呼市关于政务公开的决策部署，紧紧围绕</w:t>
      </w:r>
      <w:r>
        <w:rPr>
          <w:rFonts w:ascii="仿宋_GB2312" w:eastAsia="仿宋_GB2312"/>
          <w:sz w:val="32"/>
          <w:szCs w:val="32"/>
        </w:rPr>
        <w:t>法治政府、阳光政府和服</w:t>
      </w:r>
      <w:bookmarkStart w:id="0" w:name="_GoBack"/>
      <w:bookmarkEnd w:id="0"/>
      <w:r>
        <w:rPr>
          <w:rFonts w:ascii="仿宋_GB2312" w:eastAsia="仿宋_GB2312"/>
          <w:sz w:val="32"/>
          <w:szCs w:val="32"/>
        </w:rPr>
        <w:t>务型政府建设</w:t>
      </w:r>
      <w:r>
        <w:rPr>
          <w:rFonts w:hint="eastAsia" w:ascii="仿宋_GB2312" w:eastAsia="仿宋_GB2312"/>
          <w:sz w:val="32"/>
          <w:szCs w:val="32"/>
        </w:rPr>
        <w:t>，以国家基层政务公开标准化规范化试点工作为契机，推进行政决策公开、执行公开、管理公开、服务公开和结果公开（以下统称“五公开”），加强政策解读、扩大公众参与，充分保障人民群众的知情权、参与权和监督权。</w:t>
      </w:r>
    </w:p>
    <w:p>
      <w:pPr>
        <w:pStyle w:val="6"/>
        <w:shd w:val="clear" w:color="auto" w:fill="FFFFFF"/>
        <w:spacing w:before="0" w:beforeAutospacing="0" w:after="0" w:afterAutospacing="0" w:line="600" w:lineRule="atLeast"/>
        <w:ind w:firstLine="640"/>
        <w:jc w:val="both"/>
        <w:rPr>
          <w:rFonts w:ascii="黑体" w:hAnsi="黑体" w:eastAsia="黑体" w:cs="Times New Roman"/>
          <w:sz w:val="32"/>
          <w:szCs w:val="32"/>
        </w:rPr>
      </w:pPr>
      <w:r>
        <w:rPr>
          <w:rFonts w:hint="eastAsia" w:ascii="黑体" w:hAnsi="黑体" w:eastAsia="黑体" w:cs="Times New Roman"/>
          <w:sz w:val="32"/>
          <w:szCs w:val="32"/>
        </w:rPr>
        <w:t>二、主动公开政府信息情况</w:t>
      </w:r>
    </w:p>
    <w:p>
      <w:pPr>
        <w:ind w:firstLine="643" w:firstLineChars="200"/>
        <w:rPr>
          <w:rFonts w:ascii="楷体" w:hAnsi="楷体" w:eastAsia="楷体"/>
          <w:b/>
          <w:bCs/>
          <w:sz w:val="32"/>
          <w:szCs w:val="32"/>
        </w:rPr>
      </w:pPr>
      <w:r>
        <w:rPr>
          <w:rFonts w:hint="eastAsia" w:ascii="楷体" w:hAnsi="楷体" w:eastAsia="楷体"/>
          <w:b/>
          <w:bCs/>
          <w:sz w:val="32"/>
          <w:szCs w:val="32"/>
        </w:rPr>
        <w:t>（一）加强组织领导，健全工作机制</w:t>
      </w:r>
    </w:p>
    <w:p>
      <w:pPr>
        <w:ind w:firstLine="640" w:firstLineChars="200"/>
        <w:rPr>
          <w:rFonts w:ascii="仿宋_GB2312" w:eastAsia="仿宋_GB2312"/>
          <w:sz w:val="32"/>
          <w:szCs w:val="32"/>
        </w:rPr>
      </w:pPr>
      <w:r>
        <w:rPr>
          <w:rFonts w:hint="eastAsia" w:ascii="仿宋_GB2312" w:eastAsia="仿宋_GB2312"/>
          <w:sz w:val="32"/>
          <w:szCs w:val="32"/>
        </w:rPr>
        <w:t>完善本区政务公开工作的领导机制，充实领导小组成员，政务公开工作领导小组组长由政府一把手亲自担任，加强了政务工作的推进、指导和监督力度。明确政务公开办公室具体负责部署推进、监督检查本区政务公开和政府信息公开工作。不定期召开政务公开工作会议，总结政务公开工作的经验和做法，研究解决工作中存在的问题，安排部署下一阶段的工作。</w:t>
      </w:r>
    </w:p>
    <w:p>
      <w:pPr>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6432" behindDoc="1" locked="0" layoutInCell="1" allowOverlap="1">
            <wp:simplePos x="0" y="0"/>
            <wp:positionH relativeFrom="column">
              <wp:posOffset>9525</wp:posOffset>
            </wp:positionH>
            <wp:positionV relativeFrom="paragraph">
              <wp:posOffset>1238250</wp:posOffset>
            </wp:positionV>
            <wp:extent cx="3048635" cy="2314575"/>
            <wp:effectExtent l="0" t="0" r="0" b="9525"/>
            <wp:wrapTight wrapText="bothSides">
              <wp:wrapPolygon>
                <wp:start x="0" y="0"/>
                <wp:lineTo x="0" y="21511"/>
                <wp:lineTo x="21461" y="21511"/>
                <wp:lineTo x="21461"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48635" cy="2314575"/>
                    </a:xfrm>
                    <a:prstGeom prst="rect">
                      <a:avLst/>
                    </a:prstGeom>
                  </pic:spPr>
                </pic:pic>
              </a:graphicData>
            </a:graphic>
          </wp:anchor>
        </w:drawing>
      </w:r>
      <w:r>
        <w:rPr>
          <w:rFonts w:hint="eastAsia" w:ascii="仿宋_GB2312" w:eastAsia="仿宋_GB2312"/>
          <w:sz w:val="32"/>
          <w:szCs w:val="32"/>
        </w:rPr>
        <w:t>为确保把政府信息公开工作真正落到实处，年初，制定了本年度的政府信息公开工作计划，</w:t>
      </w:r>
      <w:r>
        <w:rPr>
          <w:rFonts w:ascii="仿宋_GB2312" w:eastAsia="仿宋_GB2312"/>
          <w:sz w:val="32"/>
          <w:szCs w:val="32"/>
        </w:rPr>
        <w:t>根据自治区、市政府的相关要求</w:t>
      </w:r>
      <w:r>
        <w:rPr>
          <w:rFonts w:hint="eastAsia" w:ascii="仿宋_GB2312" w:eastAsia="仿宋_GB2312"/>
          <w:sz w:val="32"/>
          <w:szCs w:val="32"/>
        </w:rPr>
        <w:t>制</w:t>
      </w:r>
      <w:r>
        <w:rPr>
          <w:rFonts w:ascii="仿宋_GB2312" w:eastAsia="仿宋_GB2312"/>
          <w:sz w:val="32"/>
          <w:szCs w:val="32"/>
        </w:rPr>
        <w:t>定</w:t>
      </w:r>
      <w:r>
        <w:rPr>
          <w:rFonts w:hint="eastAsia" w:ascii="仿宋_GB2312" w:eastAsia="仿宋_GB2312"/>
          <w:sz w:val="32"/>
          <w:szCs w:val="32"/>
        </w:rPr>
        <w:t>《2018年新城区政务公开工作要点》，按照各部门职能，分解细化任务，职责明确。进一步</w:t>
      </w:r>
      <w:r>
        <w:rPr>
          <w:rFonts w:ascii="仿宋_GB2312" w:eastAsia="仿宋_GB2312"/>
          <w:sz w:val="32"/>
          <w:szCs w:val="32"/>
        </w:rPr>
        <w:t>规范政务公开流程</w:t>
      </w:r>
      <w:r>
        <w:rPr>
          <w:rFonts w:hint="eastAsia" w:ascii="仿宋_GB2312" w:eastAsia="仿宋_GB2312"/>
          <w:sz w:val="32"/>
          <w:szCs w:val="32"/>
        </w:rPr>
        <w:t>，不断强化政务公开制度和监督管理制度的落实，</w:t>
      </w:r>
      <w:r>
        <w:rPr>
          <w:rFonts w:ascii="仿宋_GB2312" w:eastAsia="仿宋_GB2312"/>
          <w:sz w:val="32"/>
          <w:szCs w:val="32"/>
        </w:rPr>
        <w:t>紧紧围绕决策、执行、管理、服务、结果公开的原则，将“五公开”纳入公文办理及会议办理程序，建立健全常务会议公开制度</w:t>
      </w:r>
      <w:r>
        <w:rPr>
          <w:rFonts w:hint="eastAsia" w:ascii="仿宋_GB2312" w:eastAsia="仿宋_GB2312"/>
          <w:sz w:val="32"/>
          <w:szCs w:val="32"/>
        </w:rPr>
        <w:t>、</w:t>
      </w:r>
      <w:r>
        <w:rPr>
          <w:rFonts w:ascii="仿宋_GB2312" w:eastAsia="仿宋_GB2312"/>
          <w:sz w:val="32"/>
          <w:szCs w:val="32"/>
        </w:rPr>
        <w:t>重大政策预公开制度</w:t>
      </w:r>
      <w:r>
        <w:rPr>
          <w:rFonts w:hint="eastAsia" w:ascii="仿宋_GB2312" w:eastAsia="仿宋_GB2312"/>
          <w:sz w:val="32"/>
          <w:szCs w:val="32"/>
        </w:rPr>
        <w:t>、</w:t>
      </w:r>
      <w:r>
        <w:rPr>
          <w:rFonts w:ascii="仿宋_GB2312" w:eastAsia="仿宋_GB2312"/>
          <w:sz w:val="32"/>
          <w:szCs w:val="32"/>
        </w:rPr>
        <w:t>政策解读制度</w:t>
      </w:r>
      <w:r>
        <w:rPr>
          <w:rFonts w:hint="eastAsia" w:ascii="仿宋_GB2312" w:eastAsia="仿宋_GB2312"/>
          <w:sz w:val="32"/>
          <w:szCs w:val="32"/>
        </w:rPr>
        <w:t>、</w:t>
      </w:r>
      <w:r>
        <w:rPr>
          <w:rFonts w:ascii="仿宋_GB2312" w:eastAsia="仿宋_GB2312"/>
          <w:sz w:val="32"/>
          <w:szCs w:val="32"/>
        </w:rPr>
        <w:t>保密审查工作制度</w:t>
      </w:r>
      <w:r>
        <w:rPr>
          <w:rFonts w:hint="eastAsia" w:ascii="仿宋_GB2312" w:eastAsia="仿宋_GB2312"/>
          <w:sz w:val="32"/>
          <w:szCs w:val="32"/>
        </w:rPr>
        <w:t>、舆情回应制度</w:t>
      </w:r>
      <w:r>
        <w:rPr>
          <w:rFonts w:ascii="仿宋_GB2312" w:eastAsia="仿宋_GB2312"/>
          <w:sz w:val="32"/>
          <w:szCs w:val="32"/>
        </w:rPr>
        <w:t>等相关工作机制。</w:t>
      </w:r>
      <w:r>
        <w:rPr>
          <w:rFonts w:hint="eastAsia" w:ascii="仿宋_GB2312" w:eastAsia="仿宋_GB2312"/>
          <w:sz w:val="32"/>
          <w:szCs w:val="32"/>
        </w:rPr>
        <w:t>同时把各单位信息公开的情况在区门户网站上进行即时通报，半年向各单位下发一次纸质通报；并将政务公开工作纳入各单位年终实绩考核，确保政务公开工作自下而上有效开展，形成纵向到底、横向到边、上下联动、整体推进的工作体系。</w:t>
      </w:r>
    </w:p>
    <w:p>
      <w:pPr>
        <w:ind w:firstLine="619" w:firstLineChars="200"/>
        <w:rPr>
          <w:rFonts w:ascii="楷体" w:hAnsi="楷体" w:eastAsia="楷体"/>
          <w:b/>
          <w:bCs/>
          <w:spacing w:val="-6"/>
          <w:sz w:val="32"/>
          <w:szCs w:val="32"/>
        </w:rPr>
      </w:pPr>
      <w:r>
        <w:rPr>
          <w:rFonts w:hint="eastAsia" w:ascii="楷体" w:hAnsi="楷体" w:eastAsia="楷体"/>
          <w:b/>
          <w:bCs/>
          <w:spacing w:val="-6"/>
          <w:sz w:val="32"/>
          <w:szCs w:val="32"/>
        </w:rPr>
        <w:t>（二）国家基层政务公开标准化规范化试点工作成效明显</w:t>
      </w:r>
    </w:p>
    <w:p>
      <w:pPr>
        <w:ind w:firstLine="616" w:firstLineChars="200"/>
        <w:rPr>
          <w:rFonts w:ascii="仿宋_GB2312" w:eastAsia="仿宋_GB2312"/>
          <w:sz w:val="32"/>
          <w:szCs w:val="32"/>
        </w:rPr>
      </w:pPr>
      <w:r>
        <w:rPr>
          <w:rFonts w:ascii="仿宋_GB2312" w:eastAsia="仿宋_GB2312"/>
          <w:spacing w:val="-6"/>
          <w:sz w:val="32"/>
          <w:szCs w:val="32"/>
        </w:rPr>
        <w:drawing>
          <wp:anchor distT="0" distB="0" distL="114300" distR="114300" simplePos="0" relativeHeight="251659264" behindDoc="1" locked="0" layoutInCell="1" allowOverlap="1">
            <wp:simplePos x="0" y="0"/>
            <wp:positionH relativeFrom="column">
              <wp:posOffset>2838450</wp:posOffset>
            </wp:positionH>
            <wp:positionV relativeFrom="paragraph">
              <wp:posOffset>131445</wp:posOffset>
            </wp:positionV>
            <wp:extent cx="2484120" cy="2660650"/>
            <wp:effectExtent l="0" t="0" r="0" b="6350"/>
            <wp:wrapTight wrapText="bothSides">
              <wp:wrapPolygon>
                <wp:start x="0" y="0"/>
                <wp:lineTo x="0" y="21497"/>
                <wp:lineTo x="21368" y="21497"/>
                <wp:lineTo x="2136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84120" cy="2660650"/>
                    </a:xfrm>
                    <a:prstGeom prst="rect">
                      <a:avLst/>
                    </a:prstGeom>
                  </pic:spPr>
                </pic:pic>
              </a:graphicData>
            </a:graphic>
          </wp:anchor>
        </w:drawing>
      </w:r>
      <w:r>
        <w:rPr>
          <w:rFonts w:hint="eastAsia" w:ascii="仿宋_GB2312" w:eastAsia="仿宋_GB2312"/>
          <w:sz w:val="32"/>
          <w:szCs w:val="32"/>
        </w:rPr>
        <w:t>2017年5月，国务院办公厅确定在北京市、安徽省、陕西省等15个省（区、市）的100个县（市、区）重点围绕城乡规划、重大建设项目等25个方面开展基层政务公开标准化规范化试点工作（以下简称“试点”工作），新城区被确定为全国100家“试点”单位之一。</w:t>
      </w:r>
    </w:p>
    <w:p>
      <w:pPr>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0288" behindDoc="1" locked="0" layoutInCell="1" allowOverlap="1">
            <wp:simplePos x="0" y="0"/>
            <wp:positionH relativeFrom="column">
              <wp:posOffset>2419350</wp:posOffset>
            </wp:positionH>
            <wp:positionV relativeFrom="paragraph">
              <wp:posOffset>517525</wp:posOffset>
            </wp:positionV>
            <wp:extent cx="2857500" cy="2145665"/>
            <wp:effectExtent l="0" t="0" r="0" b="6985"/>
            <wp:wrapTight wrapText="bothSides">
              <wp:wrapPolygon>
                <wp:start x="0" y="0"/>
                <wp:lineTo x="0" y="21479"/>
                <wp:lineTo x="21456" y="21479"/>
                <wp:lineTo x="21456"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57500" cy="2145665"/>
                    </a:xfrm>
                    <a:prstGeom prst="rect">
                      <a:avLst/>
                    </a:prstGeom>
                  </pic:spPr>
                </pic:pic>
              </a:graphicData>
            </a:graphic>
          </wp:anchor>
        </w:drawing>
      </w:r>
      <w:r>
        <w:rPr>
          <w:rFonts w:hint="eastAsia" w:ascii="仿宋_GB2312" w:eastAsia="仿宋_GB2312"/>
          <w:sz w:val="32"/>
          <w:szCs w:val="32"/>
        </w:rPr>
        <w:t>我区积极推进基层政务公开标准化规范化试点工作，成立试点推进小组及办公室，印发《普陀区深入开展基层政务公开标准化规范化试点工作实施方案》。组织数次重要会议部署安排，邀请自治区业务单位培训指导，梳理重点领域公开事项，</w:t>
      </w:r>
      <w:r>
        <w:rPr>
          <w:rFonts w:ascii="仿宋_GB2312" w:eastAsia="仿宋_GB2312"/>
          <w:sz w:val="32"/>
          <w:szCs w:val="32"/>
        </w:rPr>
        <w:t>构建3级联动，5大标准，</w:t>
      </w:r>
      <w:r>
        <w:rPr>
          <w:rFonts w:hint="eastAsia" w:ascii="仿宋_GB2312" w:eastAsia="仿宋_GB2312"/>
          <w:sz w:val="32"/>
          <w:szCs w:val="32"/>
        </w:rPr>
        <w:t>9</w:t>
      </w:r>
      <w:r>
        <w:rPr>
          <w:rFonts w:ascii="仿宋_GB2312" w:eastAsia="仿宋_GB2312"/>
          <w:sz w:val="32"/>
          <w:szCs w:val="32"/>
        </w:rPr>
        <w:t>张清单的“3</w:t>
      </w:r>
      <w:r>
        <w:rPr>
          <w:rFonts w:hint="eastAsia" w:ascii="仿宋_GB2312" w:eastAsia="仿宋_GB2312"/>
          <w:sz w:val="32"/>
          <w:szCs w:val="32"/>
        </w:rPr>
        <w:t>59</w:t>
      </w:r>
      <w:r>
        <w:rPr>
          <w:rFonts w:ascii="仿宋_GB2312" w:eastAsia="仿宋_GB2312"/>
          <w:sz w:val="32"/>
          <w:szCs w:val="32"/>
        </w:rPr>
        <w:t>”政务公开标准化规范化体系，进一步提升政务公开工作水平</w:t>
      </w:r>
      <w:r>
        <w:rPr>
          <w:rFonts w:hint="eastAsia" w:ascii="仿宋_GB2312" w:eastAsia="仿宋_GB2312"/>
          <w:sz w:val="32"/>
          <w:szCs w:val="32"/>
        </w:rPr>
        <w:t>。加强宣传调研，推进标准实施。组织标准化专题培训，围绕重点领域试点任务专题研讨，开设“政务</w:t>
      </w:r>
      <w:r>
        <w:rPr>
          <w:rFonts w:ascii="仿宋_GB2312" w:eastAsia="仿宋_GB2312"/>
          <w:sz w:val="32"/>
          <w:szCs w:val="32"/>
        </w:rPr>
        <w:drawing>
          <wp:inline distT="0" distB="0" distL="0" distR="0">
            <wp:extent cx="2470785" cy="188595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0785" cy="1885950"/>
                    </a:xfrm>
                    <a:prstGeom prst="rect">
                      <a:avLst/>
                    </a:prstGeom>
                  </pic:spPr>
                </pic:pic>
              </a:graphicData>
            </a:graphic>
          </wp:inline>
        </w:drawing>
      </w:r>
      <w:r>
        <w:rPr>
          <w:rFonts w:hint="eastAsia" w:ascii="仿宋_GB2312" w:eastAsia="仿宋_GB2312"/>
          <w:sz w:val="32"/>
          <w:szCs w:val="32"/>
        </w:rPr>
        <w:t xml:space="preserve"> </w:t>
      </w:r>
      <w:r>
        <w:rPr>
          <w:rFonts w:ascii="仿宋_GB2312" w:eastAsia="仿宋_GB2312"/>
          <w:sz w:val="32"/>
          <w:szCs w:val="32"/>
        </w:rPr>
        <w:drawing>
          <wp:inline distT="0" distB="0" distL="0" distR="0">
            <wp:extent cx="2500630" cy="18764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0630" cy="1876425"/>
                    </a:xfrm>
                    <a:prstGeom prst="rect">
                      <a:avLst/>
                    </a:prstGeom>
                  </pic:spPr>
                </pic:pic>
              </a:graphicData>
            </a:graphic>
          </wp:inline>
        </w:drawing>
      </w:r>
      <w:r>
        <w:rPr>
          <w:rFonts w:hint="eastAsia" w:ascii="仿宋_GB2312" w:eastAsia="仿宋_GB2312"/>
          <w:sz w:val="32"/>
          <w:szCs w:val="32"/>
        </w:rPr>
        <w:t>公开标准化规范化试点”专题，开展满意度调查问卷。组织有关部门赴温州瓯海区、上海普陀区、南京建邺区考察学习先进成功经验，</w:t>
      </w:r>
      <w:r>
        <w:rPr>
          <w:rFonts w:ascii="仿宋_GB2312" w:eastAsia="仿宋_GB2312"/>
          <w:sz w:val="32"/>
          <w:szCs w:val="32"/>
        </w:rPr>
        <w:t>邀请云南省腾冲市来我区沟通交流，分享好的经验做法，共同促进工作开展。</w:t>
      </w:r>
      <w:r>
        <w:rPr>
          <w:rFonts w:hint="eastAsia" w:ascii="仿宋_GB2312" w:eastAsia="仿宋_GB2312"/>
          <w:sz w:val="32"/>
          <w:szCs w:val="32"/>
        </w:rPr>
        <w:t>“试点”工作现已顺利通过自治区评估组验收评审。</w:t>
      </w:r>
    </w:p>
    <w:p>
      <w:pPr>
        <w:pStyle w:val="6"/>
        <w:shd w:val="clear" w:color="auto" w:fill="FFFFFF"/>
        <w:spacing w:before="0" w:beforeAutospacing="0" w:after="0" w:afterAutospacing="0" w:line="600" w:lineRule="atLeast"/>
        <w:ind w:firstLine="640"/>
        <w:jc w:val="both"/>
        <w:rPr>
          <w:rFonts w:ascii="仿宋_GB2312" w:eastAsia="仿宋_GB2312" w:hAnsiTheme="minorHAnsi" w:cstheme="minorBidi"/>
          <w:kern w:val="2"/>
          <w:sz w:val="32"/>
          <w:szCs w:val="32"/>
        </w:rPr>
      </w:pPr>
      <w:r>
        <w:rPr>
          <w:rFonts w:hint="eastAsia" w:ascii="仿宋_GB2312" w:eastAsia="仿宋_GB2312" w:hAnsiTheme="minorHAnsi" w:cstheme="minorBidi"/>
          <w:kern w:val="2"/>
          <w:sz w:val="32"/>
          <w:szCs w:val="32"/>
        </w:rPr>
        <w:drawing>
          <wp:anchor distT="0" distB="0" distL="114300" distR="114300" simplePos="0" relativeHeight="251661312" behindDoc="1" locked="0" layoutInCell="1" allowOverlap="1">
            <wp:simplePos x="0" y="0"/>
            <wp:positionH relativeFrom="column">
              <wp:posOffset>9525</wp:posOffset>
            </wp:positionH>
            <wp:positionV relativeFrom="paragraph">
              <wp:posOffset>430530</wp:posOffset>
            </wp:positionV>
            <wp:extent cx="3253105" cy="2375535"/>
            <wp:effectExtent l="0" t="0" r="4445" b="5715"/>
            <wp:wrapTight wrapText="bothSides">
              <wp:wrapPolygon>
                <wp:start x="0" y="0"/>
                <wp:lineTo x="0" y="21479"/>
                <wp:lineTo x="21503" y="21479"/>
                <wp:lineTo x="21503"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3105" cy="2375535"/>
                    </a:xfrm>
                    <a:prstGeom prst="rect">
                      <a:avLst/>
                    </a:prstGeom>
                  </pic:spPr>
                </pic:pic>
              </a:graphicData>
            </a:graphic>
          </wp:anchor>
        </w:drawing>
      </w:r>
      <w:r>
        <w:rPr>
          <w:rFonts w:hint="eastAsia" w:ascii="仿宋_GB2312" w:hAnsi="微软雅黑" w:eastAsia="仿宋_GB2312"/>
          <w:b/>
          <w:bCs/>
          <w:color w:val="333333"/>
          <w:sz w:val="32"/>
          <w:szCs w:val="32"/>
        </w:rPr>
        <w:t>一是分类细化，形成九张标准清单。</w:t>
      </w:r>
      <w:r>
        <w:rPr>
          <w:rFonts w:hint="eastAsia" w:ascii="仿宋_GB2312" w:eastAsia="仿宋_GB2312" w:hAnsiTheme="minorHAnsi" w:cstheme="minorBidi"/>
          <w:kern w:val="2"/>
          <w:sz w:val="32"/>
          <w:szCs w:val="32"/>
        </w:rPr>
        <w:t>经过全面梳理，共形成权力清单、责任清单、公共服务事项清单等8张清单和1张重点领域公开事项清单，涉及25家行政单位的权责清单由原来的2332项细化到6302项，梳理出重点领域公开事项清单25类337项，全部在区门户网站统一公开。</w:t>
      </w:r>
      <w:r>
        <w:rPr>
          <w:rFonts w:hint="eastAsia" w:ascii="仿宋_GB2312" w:hAnsi="微软雅黑" w:eastAsia="仿宋_GB2312"/>
          <w:b/>
          <w:bCs/>
          <w:color w:val="333333"/>
          <w:sz w:val="32"/>
          <w:szCs w:val="32"/>
        </w:rPr>
        <w:t>二是精细梳理，编制政务公开目录。</w:t>
      </w:r>
      <w:r>
        <w:rPr>
          <w:rFonts w:hint="eastAsia" w:ascii="仿宋_GB2312" w:eastAsia="仿宋_GB2312" w:hAnsiTheme="minorHAnsi" w:cstheme="minorBidi"/>
          <w:kern w:val="2"/>
          <w:sz w:val="32"/>
          <w:szCs w:val="32"/>
        </w:rPr>
        <w:t>首先在自治区《基层政务公开事项标准目录指引》的基础上，结合实际工作，重新设计标准目录文本，增设责任科室、公开属性栏等8项基本要素。其次对目录名称进行细化，对公开内容进行具体化，经区法制办合法性审查，保密局把关，形成政府信息公开目录296项，并在门户网站公布。</w:t>
      </w:r>
      <w:r>
        <w:rPr>
          <w:rFonts w:hint="eastAsia" w:ascii="仿宋_GB2312" w:hAnsi="微软雅黑" w:eastAsia="仿宋_GB2312"/>
          <w:b/>
          <w:bCs/>
          <w:color w:val="333333"/>
          <w:sz w:val="32"/>
          <w:szCs w:val="32"/>
        </w:rPr>
        <w:t>三是专业指引，构建五套标准体系。</w:t>
      </w:r>
      <w:r>
        <w:rPr>
          <w:rFonts w:hint="eastAsia" w:ascii="仿宋_GB2312" w:eastAsia="仿宋_GB2312" w:hAnsiTheme="minorHAnsi" w:cstheme="minorBidi"/>
          <w:kern w:val="2"/>
          <w:sz w:val="32"/>
          <w:szCs w:val="32"/>
        </w:rPr>
        <w:t>聘请自</w:t>
      </w:r>
      <w:r>
        <w:rPr>
          <w:rFonts w:hint="eastAsia" w:ascii="仿宋_GB2312" w:eastAsia="仿宋_GB2312" w:hAnsiTheme="minorHAnsi" w:cstheme="minorBidi"/>
          <w:kern w:val="2"/>
          <w:sz w:val="32"/>
          <w:szCs w:val="32"/>
        </w:rPr>
        <w:drawing>
          <wp:anchor distT="0" distB="0" distL="114300" distR="114300" simplePos="0" relativeHeight="251662336" behindDoc="0" locked="0" layoutInCell="1" allowOverlap="1">
            <wp:simplePos x="0" y="0"/>
            <wp:positionH relativeFrom="column">
              <wp:posOffset>1828800</wp:posOffset>
            </wp:positionH>
            <wp:positionV relativeFrom="paragraph">
              <wp:posOffset>2505075</wp:posOffset>
            </wp:positionV>
            <wp:extent cx="3448050" cy="2428875"/>
            <wp:effectExtent l="0" t="0" r="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8050" cy="2428875"/>
                    </a:xfrm>
                    <a:prstGeom prst="rect">
                      <a:avLst/>
                    </a:prstGeom>
                  </pic:spPr>
                </pic:pic>
              </a:graphicData>
            </a:graphic>
          </wp:anchor>
        </w:drawing>
      </w:r>
      <w:r>
        <w:rPr>
          <w:rFonts w:hint="eastAsia" w:ascii="仿宋_GB2312" w:eastAsia="仿宋_GB2312" w:hAnsiTheme="minorHAnsi" w:cstheme="minorBidi"/>
          <w:kern w:val="2"/>
          <w:sz w:val="32"/>
          <w:szCs w:val="32"/>
        </w:rPr>
        <w:t>治区标准化研究院专家参与，形成《服务通用基础标准体系》，《政务公开管理标准分体系》，《政务公开内容标准分体系》，《政务公开流程标准分体系》，《政务公开方式标准分体系》五套标准体系，共计包括38项国家标准、13项地方标准、260项企业标准共311项标准。并</w:t>
      </w:r>
      <w:r>
        <w:rPr>
          <w:rFonts w:ascii="仿宋_GB2312" w:eastAsia="仿宋_GB2312" w:hAnsiTheme="minorHAnsi" w:cstheme="minorBidi"/>
          <w:kern w:val="2"/>
          <w:sz w:val="32"/>
          <w:szCs w:val="32"/>
        </w:rPr>
        <w:t>将</w:t>
      </w:r>
      <w:r>
        <w:rPr>
          <w:rFonts w:hint="eastAsia" w:ascii="仿宋_GB2312" w:eastAsia="仿宋_GB2312" w:hAnsiTheme="minorHAnsi" w:cstheme="minorBidi"/>
          <w:kern w:val="2"/>
          <w:sz w:val="32"/>
          <w:szCs w:val="32"/>
        </w:rPr>
        <w:t>9</w:t>
      </w:r>
      <w:r>
        <w:rPr>
          <w:rFonts w:ascii="仿宋_GB2312" w:eastAsia="仿宋_GB2312" w:hAnsiTheme="minorHAnsi" w:cstheme="minorBidi"/>
          <w:kern w:val="2"/>
          <w:sz w:val="32"/>
          <w:szCs w:val="32"/>
        </w:rPr>
        <w:t>张清单，5套标准体系作为业务工作开展及政务公开平台建设的依据，指引各级各部门具体工作和政府信息的对外公开</w:t>
      </w:r>
      <w:r>
        <w:rPr>
          <w:rFonts w:hint="eastAsia" w:ascii="仿宋_GB2312" w:eastAsia="仿宋_GB2312" w:hAnsiTheme="minorHAnsi" w:cstheme="minorBidi"/>
          <w:kern w:val="2"/>
          <w:sz w:val="32"/>
          <w:szCs w:val="32"/>
        </w:rPr>
        <w:t>，</w:t>
      </w:r>
      <w:r>
        <w:rPr>
          <w:rFonts w:ascii="仿宋_GB2312" w:eastAsia="仿宋_GB2312" w:hAnsiTheme="minorHAnsi" w:cstheme="minorBidi"/>
          <w:kern w:val="2"/>
          <w:sz w:val="32"/>
          <w:szCs w:val="32"/>
        </w:rPr>
        <w:t>促进各部门严格按照标准环节、依法依规、规范高效开展工作。</w:t>
      </w:r>
      <w:r>
        <w:rPr>
          <w:rFonts w:hint="eastAsia" w:ascii="仿宋_GB2312" w:hAnsi="微软雅黑" w:eastAsia="仿宋_GB2312"/>
          <w:b/>
          <w:bCs/>
          <w:color w:val="333333"/>
          <w:sz w:val="32"/>
          <w:szCs w:val="32"/>
        </w:rPr>
        <w:t>四是完善机制，规范政务公开流程。</w:t>
      </w:r>
      <w:r>
        <w:rPr>
          <w:rFonts w:hint="eastAsia" w:ascii="仿宋_GB2312" w:eastAsia="仿宋_GB2312" w:hAnsiTheme="minorHAnsi" w:cstheme="minorBidi"/>
          <w:kern w:val="2"/>
          <w:sz w:val="32"/>
          <w:szCs w:val="32"/>
        </w:rPr>
        <w:t>完善政府信息公开、依申请公开等管理办法，制定依申请公开指南、流程图，设立依申请公开接待室，并</w:t>
      </w:r>
      <w:r>
        <w:rPr>
          <w:rFonts w:ascii="仿宋_GB2312" w:eastAsia="仿宋_GB2312" w:hAnsiTheme="minorHAnsi" w:cstheme="minorBidi"/>
          <w:kern w:val="2"/>
          <w:sz w:val="32"/>
          <w:szCs w:val="32"/>
        </w:rPr>
        <w:t>安排</w:t>
      </w:r>
      <w:r>
        <w:rPr>
          <w:rFonts w:hint="eastAsia" w:ascii="仿宋_GB2312" w:eastAsia="仿宋_GB2312" w:hAnsiTheme="minorHAnsi" w:cstheme="minorBidi"/>
          <w:kern w:val="2"/>
          <w:sz w:val="32"/>
          <w:szCs w:val="32"/>
        </w:rPr>
        <w:t>专人负责此项工作，</w:t>
      </w:r>
      <w:r>
        <w:rPr>
          <w:rFonts w:ascii="仿宋_GB2312" w:eastAsia="仿宋_GB2312" w:hAnsiTheme="minorHAnsi" w:cstheme="minorBidi"/>
          <w:kern w:val="2"/>
          <w:sz w:val="32"/>
          <w:szCs w:val="32"/>
        </w:rPr>
        <w:t>确保</w:t>
      </w:r>
      <w:r>
        <w:rPr>
          <w:rFonts w:hint="eastAsia" w:ascii="仿宋_GB2312" w:eastAsia="仿宋_GB2312" w:hAnsiTheme="minorHAnsi" w:cstheme="minorBidi"/>
          <w:kern w:val="2"/>
          <w:sz w:val="32"/>
          <w:szCs w:val="32"/>
        </w:rPr>
        <w:t>在法定时限内按规范予以答复。</w:t>
      </w:r>
      <w:r>
        <w:rPr>
          <w:rFonts w:ascii="仿宋_GB2312" w:hAnsi="微软雅黑" w:eastAsia="仿宋_GB2312"/>
          <w:b/>
          <w:bCs/>
          <w:color w:val="333333"/>
          <w:sz w:val="32"/>
          <w:szCs w:val="32"/>
        </w:rPr>
        <w:t>五是拓宽渠道，完善政务公开方式。</w:t>
      </w:r>
      <w:r>
        <w:rPr>
          <w:rFonts w:ascii="仿宋_GB2312" w:eastAsia="仿宋_GB2312" w:hAnsiTheme="minorHAnsi" w:cstheme="minorBidi"/>
          <w:kern w:val="2"/>
          <w:sz w:val="32"/>
          <w:szCs w:val="32"/>
        </w:rPr>
        <w:t>投资400万元，开发全新政府门户网站和升级改造电子政务平台。政府网站全面融</w:t>
      </w:r>
      <w:r>
        <w:rPr>
          <w:rFonts w:ascii="仿宋_GB2312" w:eastAsia="仿宋_GB2312" w:hAnsiTheme="minorHAnsi" w:cstheme="minorBidi"/>
          <w:kern w:val="2"/>
          <w:sz w:val="32"/>
          <w:szCs w:val="32"/>
        </w:rPr>
        <w:drawing>
          <wp:inline distT="0" distB="0" distL="0" distR="0">
            <wp:extent cx="5272405" cy="3000375"/>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2988" cy="3000375"/>
                    </a:xfrm>
                    <a:prstGeom prst="rect">
                      <a:avLst/>
                    </a:prstGeom>
                  </pic:spPr>
                </pic:pic>
              </a:graphicData>
            </a:graphic>
          </wp:inline>
        </w:drawing>
      </w:r>
      <w:r>
        <w:rPr>
          <w:rFonts w:ascii="仿宋_GB2312" w:eastAsia="仿宋_GB2312" w:hAnsiTheme="minorHAnsi" w:cstheme="minorBidi"/>
          <w:kern w:val="2"/>
          <w:sz w:val="32"/>
          <w:szCs w:val="32"/>
        </w:rPr>
        <w:t>入微博、微信、手机APP等新媒体形式，加入智能问答、无障碍浏览等功能，设置“便民服务”等特色栏目，提高群众知晓率和满意度，将政务公开与政务服务有机结合，实现政务服务高效便捷，已于8月份上线运行。同时</w:t>
      </w:r>
      <w:r>
        <w:rPr>
          <w:rFonts w:hint="eastAsia" w:ascii="仿宋_GB2312" w:eastAsia="仿宋_GB2312" w:hAnsiTheme="minorHAnsi" w:cstheme="minorBidi"/>
          <w:kern w:val="2"/>
          <w:sz w:val="32"/>
          <w:szCs w:val="32"/>
        </w:rPr>
        <w:t>开通了蒙文网站</w:t>
      </w:r>
      <w:r>
        <w:rPr>
          <w:rFonts w:ascii="仿宋_GB2312" w:eastAsia="仿宋_GB2312" w:hAnsiTheme="minorHAnsi" w:cstheme="minorBidi"/>
          <w:kern w:val="2"/>
          <w:sz w:val="32"/>
          <w:szCs w:val="32"/>
        </w:rPr>
        <w:t>，方便了少数民</w:t>
      </w:r>
      <w:r>
        <w:rPr>
          <w:rFonts w:hint="eastAsia" w:ascii="仿宋_GB2312" w:eastAsia="仿宋_GB2312" w:hAnsiTheme="minorHAnsi" w:cstheme="minorBidi"/>
          <w:kern w:val="2"/>
          <w:sz w:val="32"/>
          <w:szCs w:val="32"/>
        </w:rPr>
        <w:t>族群众</w:t>
      </w:r>
      <w:r>
        <w:rPr>
          <w:rFonts w:ascii="仿宋_GB2312" w:eastAsia="仿宋_GB2312" w:hAnsiTheme="minorHAnsi" w:cstheme="minorBidi"/>
          <w:kern w:val="2"/>
          <w:sz w:val="32"/>
          <w:szCs w:val="32"/>
        </w:rPr>
        <w:t>获取政务信息。成立</w:t>
      </w:r>
      <w:r>
        <w:rPr>
          <w:rFonts w:hint="eastAsia" w:ascii="仿宋_GB2312" w:eastAsia="仿宋_GB2312" w:hAnsiTheme="minorHAnsi" w:cstheme="minorBidi"/>
          <w:kern w:val="2"/>
          <w:sz w:val="32"/>
          <w:szCs w:val="32"/>
        </w:rPr>
        <w:t>了</w:t>
      </w:r>
      <w:r>
        <w:rPr>
          <w:rFonts w:ascii="仿宋_GB2312" w:eastAsia="仿宋_GB2312" w:hAnsiTheme="minorHAnsi" w:cstheme="minorBidi"/>
          <w:kern w:val="2"/>
          <w:sz w:val="32"/>
          <w:szCs w:val="32"/>
        </w:rPr>
        <w:t>公报编制委员会，按季度编发政</w:t>
      </w:r>
      <w:r>
        <w:rPr>
          <w:rFonts w:ascii="仿宋_GB2312" w:eastAsia="仿宋_GB2312" w:hAnsiTheme="minorHAnsi" w:cstheme="minorBidi"/>
          <w:kern w:val="2"/>
          <w:sz w:val="32"/>
          <w:szCs w:val="32"/>
        </w:rPr>
        <w:drawing>
          <wp:anchor distT="0" distB="0" distL="114300" distR="114300" simplePos="0" relativeHeight="251665408" behindDoc="1" locked="0" layoutInCell="1" allowOverlap="1">
            <wp:simplePos x="0" y="0"/>
            <wp:positionH relativeFrom="column">
              <wp:posOffset>0</wp:posOffset>
            </wp:positionH>
            <wp:positionV relativeFrom="paragraph">
              <wp:posOffset>5734050</wp:posOffset>
            </wp:positionV>
            <wp:extent cx="3122295" cy="2476500"/>
            <wp:effectExtent l="0" t="0" r="1905" b="0"/>
            <wp:wrapTight wrapText="bothSides">
              <wp:wrapPolygon>
                <wp:start x="0" y="0"/>
                <wp:lineTo x="0" y="21434"/>
                <wp:lineTo x="21481" y="21434"/>
                <wp:lineTo x="2148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2295" cy="2476500"/>
                    </a:xfrm>
                    <a:prstGeom prst="rect">
                      <a:avLst/>
                    </a:prstGeom>
                  </pic:spPr>
                </pic:pic>
              </a:graphicData>
            </a:graphic>
          </wp:anchor>
        </w:drawing>
      </w:r>
      <w:r>
        <w:rPr>
          <w:rFonts w:ascii="仿宋_GB2312" w:eastAsia="仿宋_GB2312" w:hAnsiTheme="minorHAnsi" w:cstheme="minorBidi"/>
          <w:kern w:val="2"/>
          <w:sz w:val="32"/>
          <w:szCs w:val="32"/>
        </w:rPr>
        <w:t>府公报。在区政务服务大厅、档案局、各社区公共服务大厅建立政府信息公开自助查阅点，方便群众就近查阅所需信息。通过</w:t>
      </w:r>
      <w:r>
        <w:rPr>
          <w:rFonts w:hint="eastAsia" w:ascii="仿宋_GB2312" w:eastAsia="仿宋_GB2312" w:hAnsiTheme="minorHAnsi" w:cstheme="minorBidi"/>
          <w:kern w:val="2"/>
          <w:sz w:val="32"/>
          <w:szCs w:val="32"/>
        </w:rPr>
        <w:t>开展形式多样的试点宣传普及活动，</w:t>
      </w:r>
      <w:r>
        <w:rPr>
          <w:rFonts w:ascii="仿宋_GB2312" w:eastAsia="仿宋_GB2312" w:hAnsiTheme="minorHAnsi" w:cstheme="minorBidi"/>
          <w:kern w:val="2"/>
          <w:sz w:val="32"/>
          <w:szCs w:val="32"/>
        </w:rPr>
        <w:t>进一步</w:t>
      </w:r>
      <w:r>
        <w:rPr>
          <w:rFonts w:hint="eastAsia" w:ascii="仿宋_GB2312" w:eastAsia="仿宋_GB2312" w:hAnsiTheme="minorHAnsi" w:cstheme="minorBidi"/>
          <w:kern w:val="2"/>
          <w:sz w:val="32"/>
          <w:szCs w:val="32"/>
        </w:rPr>
        <w:t>营造让群众看得到、听得懂、能监督、好参与的浓厚试点氛围</w:t>
      </w:r>
      <w:r>
        <w:rPr>
          <w:rFonts w:ascii="仿宋_GB2312" w:eastAsia="仿宋_GB2312" w:hAnsiTheme="minorHAnsi" w:cstheme="minorBidi"/>
          <w:kern w:val="2"/>
          <w:sz w:val="32"/>
          <w:szCs w:val="32"/>
        </w:rPr>
        <w:t>。同时</w:t>
      </w:r>
      <w:r>
        <w:rPr>
          <w:rFonts w:hint="eastAsia" w:ascii="仿宋_GB2312" w:eastAsia="仿宋_GB2312" w:hAnsiTheme="minorHAnsi" w:cstheme="minorBidi"/>
          <w:kern w:val="2"/>
          <w:sz w:val="32"/>
          <w:szCs w:val="32"/>
        </w:rPr>
        <w:t>，完成政务公开试点工作总结验收材料。共计印制38册，包括标准化权责清单25册，政务公开标准体系7册（通用基础标准分体系，政务公开管理标准分体系，政务公开内容标准分体系上册、中册、下册，政务公开方式标准分体系，政务公开流程标准分体系），试点领域政务公开目录2册（25个领域、9个领域），行政审批事项服务指南3册（上、中、下），依申请公共服务事项指南1册。</w:t>
      </w:r>
    </w:p>
    <w:p>
      <w:pPr>
        <w:spacing w:line="660" w:lineRule="exact"/>
        <w:ind w:firstLine="643" w:firstLineChars="200"/>
        <w:rPr>
          <w:rFonts w:ascii="楷体" w:hAnsi="楷体" w:eastAsia="楷体"/>
          <w:b/>
          <w:sz w:val="32"/>
          <w:szCs w:val="32"/>
        </w:rPr>
      </w:pPr>
      <w:r>
        <w:rPr>
          <w:rFonts w:hint="eastAsia" w:ascii="楷体" w:hAnsi="楷体" w:eastAsia="楷体"/>
          <w:b/>
          <w:sz w:val="32"/>
          <w:szCs w:val="32"/>
        </w:rPr>
        <w:t>（</w:t>
      </w:r>
      <w:r>
        <w:rPr>
          <w:rFonts w:ascii="楷体" w:hAnsi="楷体" w:eastAsia="楷体"/>
          <w:b/>
          <w:sz w:val="32"/>
          <w:szCs w:val="32"/>
        </w:rPr>
        <w:t>三</w:t>
      </w:r>
      <w:r>
        <w:rPr>
          <w:rFonts w:hint="eastAsia" w:ascii="楷体" w:hAnsi="楷体" w:eastAsia="楷体"/>
          <w:b/>
          <w:sz w:val="32"/>
          <w:szCs w:val="32"/>
        </w:rPr>
        <w:t>）</w:t>
      </w:r>
      <w:r>
        <w:rPr>
          <w:rFonts w:ascii="楷体" w:hAnsi="楷体" w:eastAsia="楷体"/>
          <w:b/>
          <w:sz w:val="32"/>
          <w:szCs w:val="32"/>
        </w:rPr>
        <w:t>优化服务质量</w:t>
      </w:r>
      <w:r>
        <w:rPr>
          <w:rFonts w:hint="eastAsia" w:ascii="楷体" w:hAnsi="楷体" w:eastAsia="楷体"/>
          <w:b/>
          <w:sz w:val="32"/>
          <w:szCs w:val="32"/>
        </w:rPr>
        <w:t>，</w:t>
      </w:r>
      <w:r>
        <w:rPr>
          <w:rFonts w:ascii="楷体" w:hAnsi="楷体" w:eastAsia="楷体"/>
          <w:b/>
          <w:sz w:val="32"/>
          <w:szCs w:val="32"/>
        </w:rPr>
        <w:t>扎实推进政务公开纵深发展</w:t>
      </w:r>
    </w:p>
    <w:p>
      <w:pPr>
        <w:spacing w:line="660" w:lineRule="exact"/>
        <w:ind w:firstLine="643" w:firstLineChars="200"/>
        <w:rPr>
          <w:rFonts w:ascii="仿宋_GB2312" w:hAnsi="Times New Roman" w:eastAsia="仿宋_GB2312"/>
          <w:b/>
          <w:color w:val="000000" w:themeColor="text1"/>
          <w:sz w:val="32"/>
          <w:szCs w:val="32"/>
          <w14:textFill>
            <w14:solidFill>
              <w14:schemeClr w14:val="tx1"/>
            </w14:solidFill>
          </w14:textFill>
        </w:rPr>
      </w:pPr>
      <w:r>
        <w:rPr>
          <w:rFonts w:hint="eastAsia" w:ascii="仿宋_GB2312" w:hAnsi="Times New Roman" w:eastAsia="仿宋_GB2312"/>
          <w:b/>
          <w:color w:val="000000" w:themeColor="text1"/>
          <w:sz w:val="32"/>
          <w:szCs w:val="32"/>
          <w14:textFill>
            <w14:solidFill>
              <w14:schemeClr w14:val="tx1"/>
            </w14:solidFill>
          </w14:textFill>
        </w:rPr>
        <w:t>1、实现政务公开内容标准化和流程规范化</w:t>
      </w:r>
    </w:p>
    <w:p>
      <w:pPr>
        <w:spacing w:line="66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3360" behindDoc="1" locked="0" layoutInCell="1" allowOverlap="1">
            <wp:simplePos x="0" y="0"/>
            <wp:positionH relativeFrom="column">
              <wp:posOffset>38100</wp:posOffset>
            </wp:positionH>
            <wp:positionV relativeFrom="paragraph">
              <wp:posOffset>601980</wp:posOffset>
            </wp:positionV>
            <wp:extent cx="2628900" cy="3520440"/>
            <wp:effectExtent l="0" t="0" r="0" b="3810"/>
            <wp:wrapTight wrapText="bothSides">
              <wp:wrapPolygon>
                <wp:start x="0" y="0"/>
                <wp:lineTo x="0" y="21506"/>
                <wp:lineTo x="21443" y="21506"/>
                <wp:lineTo x="21443"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0" cy="3520440"/>
                    </a:xfrm>
                    <a:prstGeom prst="rect">
                      <a:avLst/>
                    </a:prstGeom>
                  </pic:spPr>
                </pic:pic>
              </a:graphicData>
            </a:graphic>
          </wp:anchor>
        </w:drawing>
      </w:r>
      <w:r>
        <w:rPr>
          <w:rFonts w:ascii="仿宋_GB2312" w:eastAsia="仿宋_GB2312"/>
          <w:sz w:val="32"/>
          <w:szCs w:val="32"/>
        </w:rPr>
        <w:t>我区将</w:t>
      </w:r>
      <w:r>
        <w:rPr>
          <w:rFonts w:hint="eastAsia" w:ascii="仿宋_GB2312" w:eastAsia="仿宋_GB2312"/>
          <w:sz w:val="32"/>
          <w:szCs w:val="32"/>
        </w:rPr>
        <w:t>9</w:t>
      </w:r>
      <w:r>
        <w:rPr>
          <w:rFonts w:ascii="仿宋_GB2312" w:eastAsia="仿宋_GB2312"/>
          <w:sz w:val="32"/>
          <w:szCs w:val="32"/>
        </w:rPr>
        <w:t>张清单，5套标准体系的确立作为业务工作开展及政务公开平台建设的依据，指引各级各部门具体工作和政府信息的对外公开</w:t>
      </w:r>
      <w:r>
        <w:rPr>
          <w:rFonts w:hint="eastAsia" w:ascii="仿宋_GB2312" w:eastAsia="仿宋_GB2312"/>
          <w:sz w:val="32"/>
          <w:szCs w:val="32"/>
        </w:rPr>
        <w:t>，</w:t>
      </w:r>
      <w:r>
        <w:rPr>
          <w:rFonts w:ascii="仿宋_GB2312" w:eastAsia="仿宋_GB2312"/>
          <w:sz w:val="32"/>
          <w:szCs w:val="32"/>
        </w:rPr>
        <w:t>促进各部门严格按照标准环节、依法依规、规范高效开展工作。同时开设“五公开”</w:t>
      </w:r>
      <w:r>
        <w:rPr>
          <w:rFonts w:hint="eastAsia" w:ascii="仿宋_GB2312" w:eastAsia="仿宋_GB2312"/>
          <w:sz w:val="32"/>
          <w:szCs w:val="32"/>
        </w:rPr>
        <w:t>信息</w:t>
      </w:r>
      <w:r>
        <w:rPr>
          <w:rFonts w:ascii="仿宋_GB2312" w:eastAsia="仿宋_GB2312"/>
          <w:sz w:val="32"/>
          <w:szCs w:val="32"/>
        </w:rPr>
        <w:t>专栏，将</w:t>
      </w:r>
      <w:r>
        <w:rPr>
          <w:rFonts w:hint="eastAsia" w:ascii="仿宋_GB2312" w:eastAsia="仿宋_GB2312"/>
          <w:sz w:val="32"/>
          <w:szCs w:val="32"/>
        </w:rPr>
        <w:t>重点</w:t>
      </w:r>
      <w:r>
        <w:rPr>
          <w:rFonts w:ascii="仿宋_GB2312" w:eastAsia="仿宋_GB2312"/>
          <w:sz w:val="32"/>
          <w:szCs w:val="32"/>
        </w:rPr>
        <w:t>领域信息分类进行展示，针对重点领域信息进行服务指南，政策法规，政策解读汇总，方便群众对不同阶段信息的查找和办理。此</w:t>
      </w:r>
      <w:r>
        <w:rPr>
          <w:rFonts w:hint="eastAsia" w:ascii="仿宋_GB2312" w:eastAsia="仿宋_GB2312"/>
          <w:sz w:val="32"/>
          <w:szCs w:val="32"/>
        </w:rPr>
        <w:t>外，</w:t>
      </w:r>
      <w:r>
        <w:rPr>
          <w:rFonts w:ascii="仿宋_GB2312" w:eastAsia="仿宋_GB2312"/>
          <w:sz w:val="32"/>
          <w:szCs w:val="32"/>
        </w:rPr>
        <w:t>通过开设政务公开专栏，将</w:t>
      </w:r>
      <w:r>
        <w:rPr>
          <w:rFonts w:hint="eastAsia" w:ascii="仿宋_GB2312" w:eastAsia="仿宋_GB2312"/>
          <w:sz w:val="32"/>
          <w:szCs w:val="32"/>
        </w:rPr>
        <w:t>试点</w:t>
      </w:r>
      <w:r>
        <w:rPr>
          <w:rFonts w:ascii="仿宋_GB2312" w:eastAsia="仿宋_GB2312"/>
          <w:sz w:val="32"/>
          <w:szCs w:val="32"/>
        </w:rPr>
        <w:t>会议，试点</w:t>
      </w:r>
      <w:r>
        <w:rPr>
          <w:rFonts w:hint="eastAsia" w:ascii="仿宋_GB2312" w:eastAsia="仿宋_GB2312"/>
          <w:sz w:val="32"/>
          <w:szCs w:val="32"/>
        </w:rPr>
        <w:t>做法</w:t>
      </w:r>
      <w:r>
        <w:rPr>
          <w:rFonts w:ascii="仿宋_GB2312" w:eastAsia="仿宋_GB2312"/>
          <w:sz w:val="32"/>
          <w:szCs w:val="32"/>
        </w:rPr>
        <w:t>等工作全面展示，使基层政务公开更具有可操作性，有效推动政务公开的全覆盖。</w:t>
      </w:r>
    </w:p>
    <w:p>
      <w:pPr>
        <w:spacing w:line="660" w:lineRule="exact"/>
        <w:ind w:firstLine="643" w:firstLineChars="200"/>
        <w:rPr>
          <w:rFonts w:ascii="仿宋_GB2312" w:hAnsi="Times New Roman" w:eastAsia="仿宋_GB2312"/>
          <w:b/>
          <w:sz w:val="32"/>
          <w:szCs w:val="32"/>
        </w:rPr>
      </w:pPr>
      <w:r>
        <w:rPr>
          <w:rFonts w:hint="eastAsia" w:ascii="仿宋_GB2312" w:hAnsi="Times New Roman" w:eastAsia="仿宋_GB2312"/>
          <w:b/>
          <w:sz w:val="32"/>
          <w:szCs w:val="32"/>
        </w:rPr>
        <w:t>2、实现政务公开平台多元化和服务一体化</w:t>
      </w:r>
    </w:p>
    <w:p>
      <w:pPr>
        <w:spacing w:line="660" w:lineRule="exact"/>
        <w:ind w:firstLine="640" w:firstLineChars="200"/>
        <w:rPr>
          <w:rFonts w:ascii="仿宋_GB2312" w:eastAsia="仿宋_GB2312"/>
          <w:sz w:val="32"/>
          <w:szCs w:val="32"/>
        </w:rPr>
      </w:pPr>
      <w:r>
        <w:rPr>
          <w:rFonts w:ascii="仿宋_GB2312" w:eastAsia="仿宋_GB2312"/>
          <w:sz w:val="32"/>
          <w:szCs w:val="32"/>
        </w:rPr>
        <w:t>投资4600万元，新建3200平米政务服务中心，已于8月初投入使用。共入驻21个部门，新增公安、税务、消防、治安、运管等9个部门业务，设置61个行政审</w:t>
      </w:r>
      <w:r>
        <w:rPr>
          <w:rFonts w:ascii="仿宋_GB2312" w:eastAsia="仿宋_GB2312"/>
          <w:sz w:val="32"/>
          <w:szCs w:val="32"/>
        </w:rPr>
        <w:drawing>
          <wp:anchor distT="0" distB="0" distL="114300" distR="114300" simplePos="0" relativeHeight="251664384" behindDoc="1" locked="0" layoutInCell="1" allowOverlap="1">
            <wp:simplePos x="0" y="0"/>
            <wp:positionH relativeFrom="column">
              <wp:posOffset>2223135</wp:posOffset>
            </wp:positionH>
            <wp:positionV relativeFrom="paragraph">
              <wp:posOffset>1352550</wp:posOffset>
            </wp:positionV>
            <wp:extent cx="3072765" cy="2305050"/>
            <wp:effectExtent l="0" t="0" r="0" b="0"/>
            <wp:wrapTight wrapText="bothSides">
              <wp:wrapPolygon>
                <wp:start x="0" y="0"/>
                <wp:lineTo x="0" y="21421"/>
                <wp:lineTo x="21426" y="21421"/>
                <wp:lineTo x="21426"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2765" cy="2305050"/>
                    </a:xfrm>
                    <a:prstGeom prst="rect">
                      <a:avLst/>
                    </a:prstGeom>
                  </pic:spPr>
                </pic:pic>
              </a:graphicData>
            </a:graphic>
          </wp:anchor>
        </w:drawing>
      </w:r>
      <w:r>
        <w:rPr>
          <w:rFonts w:ascii="仿宋_GB2312" w:eastAsia="仿宋_GB2312"/>
          <w:sz w:val="32"/>
          <w:szCs w:val="32"/>
        </w:rPr>
        <w:t>批和便民服务窗口，进驻中心工作人员192人，中心可办理事项1</w:t>
      </w:r>
      <w:r>
        <w:rPr>
          <w:rFonts w:hint="eastAsia" w:ascii="仿宋_GB2312" w:eastAsia="仿宋_GB2312"/>
          <w:sz w:val="32"/>
          <w:szCs w:val="32"/>
        </w:rPr>
        <w:t>21</w:t>
      </w:r>
      <w:r>
        <w:rPr>
          <w:rFonts w:ascii="仿宋_GB2312" w:eastAsia="仿宋_GB2312"/>
          <w:sz w:val="32"/>
          <w:szCs w:val="32"/>
        </w:rPr>
        <w:t>项。为方便群众快速便捷获取政府信息，中心专门设有政务公开自助体验查询区，可以查询到窗口办事、各项惠民政策、</w:t>
      </w:r>
      <w:r>
        <w:rPr>
          <w:rFonts w:hint="eastAsia" w:ascii="仿宋_GB2312" w:eastAsia="仿宋_GB2312"/>
          <w:sz w:val="32"/>
          <w:szCs w:val="32"/>
        </w:rPr>
        <w:t>25</w:t>
      </w:r>
      <w:r>
        <w:rPr>
          <w:rFonts w:ascii="仿宋_GB2312" w:eastAsia="仿宋_GB2312"/>
          <w:sz w:val="32"/>
          <w:szCs w:val="32"/>
        </w:rPr>
        <w:t>个</w:t>
      </w:r>
      <w:r>
        <w:rPr>
          <w:rFonts w:hint="eastAsia" w:ascii="仿宋_GB2312" w:eastAsia="仿宋_GB2312"/>
          <w:sz w:val="32"/>
          <w:szCs w:val="32"/>
        </w:rPr>
        <w:t>重点</w:t>
      </w:r>
      <w:r>
        <w:rPr>
          <w:rFonts w:ascii="仿宋_GB2312" w:eastAsia="仿宋_GB2312"/>
          <w:sz w:val="32"/>
          <w:szCs w:val="32"/>
        </w:rPr>
        <w:t>领域等政务信息，并在窗口实现事项“一次办结”。通过对政府门户网站、政务APP、微信公众号等平台实行统一管理，统一发布</w:t>
      </w:r>
      <w:r>
        <w:rPr>
          <w:rFonts w:hint="eastAsia" w:ascii="仿宋_GB2312" w:eastAsia="仿宋_GB2312"/>
          <w:sz w:val="32"/>
          <w:szCs w:val="32"/>
        </w:rPr>
        <w:t>，努力</w:t>
      </w:r>
      <w:r>
        <w:rPr>
          <w:rFonts w:ascii="仿宋_GB2312" w:eastAsia="仿宋_GB2312"/>
          <w:sz w:val="32"/>
          <w:szCs w:val="32"/>
        </w:rPr>
        <w:t>打造集公开</w:t>
      </w:r>
      <w:r>
        <w:rPr>
          <w:rFonts w:hint="eastAsia" w:ascii="仿宋_GB2312" w:eastAsia="仿宋_GB2312"/>
          <w:sz w:val="32"/>
          <w:szCs w:val="32"/>
        </w:rPr>
        <w:t>、</w:t>
      </w:r>
      <w:r>
        <w:rPr>
          <w:rFonts w:ascii="仿宋_GB2312" w:eastAsia="仿宋_GB2312"/>
          <w:sz w:val="32"/>
          <w:szCs w:val="32"/>
        </w:rPr>
        <w:t>查询</w:t>
      </w:r>
      <w:r>
        <w:rPr>
          <w:rFonts w:hint="eastAsia" w:ascii="仿宋_GB2312" w:eastAsia="仿宋_GB2312"/>
          <w:sz w:val="32"/>
          <w:szCs w:val="32"/>
        </w:rPr>
        <w:t>、</w:t>
      </w:r>
      <w:r>
        <w:rPr>
          <w:rFonts w:ascii="仿宋_GB2312" w:eastAsia="仿宋_GB2312"/>
          <w:sz w:val="32"/>
          <w:szCs w:val="32"/>
        </w:rPr>
        <w:t>办事</w:t>
      </w:r>
      <w:r>
        <w:rPr>
          <w:rFonts w:hint="eastAsia" w:ascii="仿宋_GB2312" w:eastAsia="仿宋_GB2312"/>
          <w:sz w:val="32"/>
          <w:szCs w:val="32"/>
        </w:rPr>
        <w:t>、</w:t>
      </w:r>
      <w:r>
        <w:rPr>
          <w:rFonts w:ascii="仿宋_GB2312" w:eastAsia="仿宋_GB2312"/>
          <w:sz w:val="32"/>
          <w:szCs w:val="32"/>
        </w:rPr>
        <w:t>互动于一体的</w:t>
      </w:r>
      <w:r>
        <w:rPr>
          <w:rFonts w:hint="eastAsia" w:ascii="仿宋_GB2312" w:eastAsia="仿宋_GB2312"/>
          <w:sz w:val="32"/>
          <w:szCs w:val="32"/>
        </w:rPr>
        <w:t>“</w:t>
      </w:r>
      <w:r>
        <w:rPr>
          <w:rFonts w:ascii="仿宋_GB2312" w:eastAsia="仿宋_GB2312"/>
          <w:sz w:val="32"/>
          <w:szCs w:val="32"/>
        </w:rPr>
        <w:t>一站式</w:t>
      </w:r>
      <w:r>
        <w:rPr>
          <w:rFonts w:hint="eastAsia" w:ascii="仿宋_GB2312" w:eastAsia="仿宋_GB2312"/>
          <w:sz w:val="32"/>
          <w:szCs w:val="32"/>
        </w:rPr>
        <w:t>”</w:t>
      </w:r>
      <w:r>
        <w:rPr>
          <w:rFonts w:ascii="仿宋_GB2312" w:eastAsia="仿宋_GB2312"/>
          <w:sz w:val="32"/>
          <w:szCs w:val="32"/>
        </w:rPr>
        <w:t>便民服务大厅</w:t>
      </w:r>
      <w:r>
        <w:rPr>
          <w:rFonts w:hint="eastAsia" w:ascii="仿宋_GB2312" w:eastAsia="仿宋_GB2312"/>
          <w:sz w:val="32"/>
          <w:szCs w:val="32"/>
        </w:rPr>
        <w:t>。</w:t>
      </w:r>
      <w:r>
        <w:rPr>
          <w:rFonts w:ascii="仿宋_GB2312" w:eastAsia="仿宋_GB2312"/>
          <w:sz w:val="32"/>
          <w:szCs w:val="32"/>
        </w:rPr>
        <w:t xml:space="preserve"> </w:t>
      </w:r>
    </w:p>
    <w:p>
      <w:pPr>
        <w:spacing w:line="660" w:lineRule="exact"/>
        <w:ind w:firstLine="643" w:firstLineChars="200"/>
        <w:rPr>
          <w:rFonts w:ascii="仿宋_GB2312" w:hAnsi="Times New Roman" w:eastAsia="仿宋_GB2312"/>
          <w:b/>
          <w:sz w:val="32"/>
          <w:szCs w:val="32"/>
        </w:rPr>
      </w:pPr>
      <w:r>
        <w:rPr>
          <w:rFonts w:hint="eastAsia" w:ascii="仿宋_GB2312" w:hAnsi="Times New Roman" w:eastAsia="仿宋_GB2312"/>
          <w:b/>
          <w:sz w:val="32"/>
          <w:szCs w:val="32"/>
        </w:rPr>
        <w:t>3、实现政务公开工作常态化和设置精准化</w:t>
      </w:r>
    </w:p>
    <w:p>
      <w:pPr>
        <w:spacing w:line="660" w:lineRule="exact"/>
        <w:ind w:firstLine="640" w:firstLineChars="200"/>
        <w:rPr>
          <w:rFonts w:ascii="仿宋_GB2312" w:eastAsia="仿宋_GB2312"/>
          <w:sz w:val="32"/>
          <w:szCs w:val="32"/>
        </w:rPr>
      </w:pPr>
      <w:r>
        <w:rPr>
          <w:rFonts w:hint="eastAsia" w:ascii="仿宋_GB2312" w:eastAsia="仿宋_GB2312"/>
          <w:sz w:val="32"/>
          <w:szCs w:val="32"/>
        </w:rPr>
        <w:t xml:space="preserve"> 坚持“公开为常态，不公开为例外”的原则，通过明确政务公开工作任务及信息发布要求</w:t>
      </w:r>
      <w:r>
        <w:rPr>
          <w:rFonts w:ascii="仿宋_GB2312" w:eastAsia="仿宋_GB2312"/>
          <w:sz w:val="32"/>
          <w:szCs w:val="32"/>
        </w:rPr>
        <w:t>，</w:t>
      </w:r>
      <w:r>
        <w:rPr>
          <w:rFonts w:hint="eastAsia" w:ascii="仿宋_GB2312" w:eastAsia="仿宋_GB2312"/>
          <w:sz w:val="32"/>
          <w:szCs w:val="32"/>
        </w:rPr>
        <w:t>健全信息发布、政策解读、回应关切、依申请公开等机制</w:t>
      </w:r>
      <w:r>
        <w:rPr>
          <w:rFonts w:ascii="仿宋_GB2312" w:eastAsia="仿宋_GB2312"/>
          <w:sz w:val="32"/>
          <w:szCs w:val="32"/>
        </w:rPr>
        <w:t>，</w:t>
      </w:r>
      <w:r>
        <w:rPr>
          <w:rFonts w:hint="eastAsia" w:ascii="仿宋_GB2312" w:eastAsia="仿宋_GB2312"/>
          <w:sz w:val="32"/>
          <w:szCs w:val="32"/>
        </w:rPr>
        <w:t>规范政务公开目录</w:t>
      </w:r>
      <w:r>
        <w:rPr>
          <w:rFonts w:ascii="仿宋_GB2312" w:eastAsia="仿宋_GB2312"/>
          <w:sz w:val="32"/>
          <w:szCs w:val="32"/>
        </w:rPr>
        <w:t>，</w:t>
      </w:r>
      <w:r>
        <w:rPr>
          <w:rFonts w:hint="eastAsia" w:ascii="仿宋_GB2312" w:eastAsia="仿宋_GB2312"/>
          <w:sz w:val="32"/>
          <w:szCs w:val="32"/>
        </w:rPr>
        <w:t>构建政务公开标准体系等一系列举措，加大主动公开力度，推进决策、执行、管理、服务、结果全过程公开，形成常态化的政务公开运行机制，确保政务公开落到实处。</w:t>
      </w:r>
    </w:p>
    <w:p>
      <w:pPr>
        <w:spacing w:line="660" w:lineRule="exact"/>
        <w:ind w:firstLine="640" w:firstLineChars="200"/>
        <w:rPr>
          <w:rFonts w:ascii="仿宋_GB2312" w:eastAsia="仿宋_GB2312"/>
          <w:sz w:val="32"/>
          <w:szCs w:val="32"/>
        </w:rPr>
      </w:pPr>
      <w:r>
        <w:rPr>
          <w:rFonts w:hint="eastAsia" w:ascii="仿宋_GB2312" w:eastAsia="仿宋_GB2312"/>
          <w:sz w:val="32"/>
          <w:szCs w:val="32"/>
        </w:rPr>
        <w:t>2018年，我区政府门户网站共整合发布各类公开信息</w:t>
      </w:r>
      <w:r>
        <w:rPr>
          <w:rFonts w:ascii="仿宋_GB2312" w:eastAsia="仿宋_GB2312"/>
          <w:sz w:val="32"/>
          <w:szCs w:val="32"/>
        </w:rPr>
        <w:t>30</w:t>
      </w:r>
      <w:r>
        <w:rPr>
          <w:rFonts w:hint="eastAsia" w:ascii="仿宋_GB2312" w:eastAsia="仿宋_GB2312"/>
          <w:sz w:val="32"/>
          <w:szCs w:val="32"/>
        </w:rPr>
        <w:t>592条，累计总访问量3.1亿人次。此外，市政府门户网站采用我区信息数量分值5470分，位列九个旗县区之首。共召开新闻发布会4场；通过报纸、广播电台和电视台等媒体及时发布各类政府信息1000余篇；微信公众号1153条；新城区（新浪、人民微博）刊载信息1346条；活力新城手机客户端刊载信息1732条。</w:t>
      </w:r>
    </w:p>
    <w:p>
      <w:pPr>
        <w:spacing w:line="660" w:lineRule="exact"/>
        <w:ind w:firstLine="640" w:firstLineChars="200"/>
        <w:rPr>
          <w:rFonts w:ascii="黑体" w:hAnsi="黑体" w:eastAsia="黑体"/>
          <w:sz w:val="32"/>
          <w:szCs w:val="32"/>
        </w:rPr>
      </w:pPr>
      <w:r>
        <w:rPr>
          <w:rFonts w:hint="eastAsia" w:ascii="黑体" w:hAnsi="黑体" w:eastAsia="黑体"/>
          <w:sz w:val="32"/>
          <w:szCs w:val="32"/>
        </w:rPr>
        <w:t>三、依申请公开政府信息情况</w:t>
      </w:r>
    </w:p>
    <w:p>
      <w:pPr>
        <w:spacing w:line="660" w:lineRule="exact"/>
        <w:ind w:firstLine="640" w:firstLineChars="200"/>
        <w:rPr>
          <w:rFonts w:ascii="仿宋_GB2312" w:eastAsia="仿宋_GB2312"/>
          <w:sz w:val="32"/>
          <w:szCs w:val="32"/>
        </w:rPr>
      </w:pPr>
      <w:r>
        <w:rPr>
          <w:rFonts w:hint="eastAsia" w:ascii="仿宋_GB2312" w:eastAsia="仿宋_GB2312"/>
          <w:sz w:val="32"/>
          <w:szCs w:val="32"/>
        </w:rPr>
        <w:t>截至目前，共受理政府信息依申请公开6件，均已办结，办结率为100％。</w:t>
      </w:r>
    </w:p>
    <w:p>
      <w:pPr>
        <w:spacing w:line="660" w:lineRule="exact"/>
        <w:ind w:firstLine="640" w:firstLineChars="200"/>
        <w:rPr>
          <w:rFonts w:ascii="黑体" w:hAnsi="黑体" w:eastAsia="黑体"/>
          <w:sz w:val="32"/>
          <w:szCs w:val="32"/>
        </w:rPr>
      </w:pPr>
      <w:r>
        <w:rPr>
          <w:rFonts w:hint="eastAsia" w:ascii="黑体" w:hAnsi="黑体" w:eastAsia="黑体"/>
          <w:sz w:val="32"/>
          <w:szCs w:val="32"/>
        </w:rPr>
        <w:t>四、复议、诉讼和申诉情况</w:t>
      </w:r>
    </w:p>
    <w:p>
      <w:pPr>
        <w:spacing w:line="660" w:lineRule="exact"/>
        <w:ind w:firstLine="640" w:firstLineChars="200"/>
        <w:rPr>
          <w:rFonts w:ascii="仿宋_GB2312" w:eastAsia="仿宋_GB2312"/>
          <w:sz w:val="32"/>
          <w:szCs w:val="32"/>
        </w:rPr>
      </w:pPr>
      <w:r>
        <w:rPr>
          <w:rFonts w:hint="eastAsia" w:ascii="仿宋_GB2312" w:eastAsia="仿宋_GB2312"/>
          <w:sz w:val="32"/>
          <w:szCs w:val="32"/>
        </w:rPr>
        <w:t>全年受理政府信息公开事务方面的行政复议0件；</w:t>
      </w:r>
    </w:p>
    <w:p>
      <w:pPr>
        <w:spacing w:line="660" w:lineRule="exact"/>
        <w:ind w:firstLine="640" w:firstLineChars="200"/>
        <w:rPr>
          <w:rFonts w:ascii="仿宋_GB2312" w:eastAsia="仿宋_GB2312"/>
          <w:sz w:val="32"/>
          <w:szCs w:val="32"/>
        </w:rPr>
      </w:pPr>
      <w:r>
        <w:rPr>
          <w:rFonts w:hint="eastAsia" w:ascii="仿宋_GB2312" w:eastAsia="仿宋_GB2312"/>
          <w:sz w:val="32"/>
          <w:szCs w:val="32"/>
        </w:rPr>
        <w:t>全年受理政府信息公开行政诉讼0件。</w:t>
      </w:r>
    </w:p>
    <w:p>
      <w:pPr>
        <w:spacing w:line="660" w:lineRule="exact"/>
        <w:ind w:firstLine="640" w:firstLineChars="200"/>
        <w:rPr>
          <w:rFonts w:ascii="黑体" w:hAnsi="黑体" w:eastAsia="黑体"/>
          <w:sz w:val="32"/>
          <w:szCs w:val="32"/>
        </w:rPr>
      </w:pPr>
      <w:r>
        <w:rPr>
          <w:rFonts w:hint="eastAsia" w:ascii="黑体" w:hAnsi="黑体" w:eastAsia="黑体"/>
          <w:sz w:val="32"/>
          <w:szCs w:val="32"/>
        </w:rPr>
        <w:t>五、政府信息公开的收费及减免情况</w:t>
      </w:r>
    </w:p>
    <w:p>
      <w:pPr>
        <w:spacing w:line="660" w:lineRule="exact"/>
        <w:ind w:firstLine="640" w:firstLineChars="200"/>
        <w:rPr>
          <w:rFonts w:ascii="仿宋_GB2312" w:eastAsia="仿宋_GB2312"/>
          <w:sz w:val="32"/>
          <w:szCs w:val="32"/>
        </w:rPr>
      </w:pPr>
      <w:r>
        <w:rPr>
          <w:rFonts w:hint="eastAsia" w:ascii="仿宋_GB2312" w:eastAsia="仿宋_GB2312"/>
          <w:sz w:val="32"/>
          <w:szCs w:val="32"/>
        </w:rPr>
        <w:t>我区目前未对公众申请公开信息收取任何费用。</w:t>
      </w:r>
    </w:p>
    <w:p>
      <w:pPr>
        <w:spacing w:line="660" w:lineRule="exact"/>
        <w:ind w:firstLine="640" w:firstLineChars="200"/>
        <w:rPr>
          <w:rFonts w:ascii="黑体" w:hAnsi="黑体" w:eastAsia="黑体"/>
          <w:sz w:val="32"/>
          <w:szCs w:val="32"/>
        </w:rPr>
      </w:pPr>
      <w:r>
        <w:rPr>
          <w:rFonts w:hint="eastAsia" w:ascii="黑体" w:hAnsi="黑体" w:eastAsia="黑体"/>
          <w:sz w:val="32"/>
          <w:szCs w:val="32"/>
        </w:rPr>
        <w:t>六、存在的主要问题和改进措施</w:t>
      </w:r>
    </w:p>
    <w:p>
      <w:pPr>
        <w:spacing w:line="660" w:lineRule="exact"/>
        <w:ind w:firstLine="640" w:firstLineChars="200"/>
        <w:rPr>
          <w:rFonts w:ascii="仿宋_GB2312" w:eastAsia="仿宋_GB2312"/>
          <w:sz w:val="32"/>
          <w:szCs w:val="32"/>
        </w:rPr>
      </w:pPr>
      <w:r>
        <w:rPr>
          <w:rFonts w:hint="eastAsia" w:ascii="仿宋_GB2312" w:eastAsia="仿宋_GB2312"/>
          <w:sz w:val="32"/>
          <w:szCs w:val="32"/>
        </w:rPr>
        <w:t>我区的政务公开工作虽然取得了一定成效，但与上级的要求和群众的期盼相比，也存在一些差距和不足，</w:t>
      </w:r>
      <w:r>
        <w:rPr>
          <w:rFonts w:hint="eastAsia" w:ascii="仿宋_GB2312" w:eastAsia="仿宋_GB2312"/>
          <w:b/>
          <w:sz w:val="32"/>
          <w:szCs w:val="32"/>
        </w:rPr>
        <w:t>一是</w:t>
      </w:r>
      <w:r>
        <w:rPr>
          <w:rFonts w:hint="eastAsia" w:ascii="仿宋_GB2312" w:eastAsia="仿宋_GB2312"/>
          <w:sz w:val="32"/>
          <w:szCs w:val="32"/>
        </w:rPr>
        <w:t>政务公开内容涵盖面还不够全面，</w:t>
      </w:r>
      <w:r>
        <w:rPr>
          <w:rFonts w:hint="eastAsia" w:ascii="仿宋_GB2312" w:eastAsia="仿宋_GB2312"/>
          <w:b/>
          <w:sz w:val="32"/>
          <w:szCs w:val="32"/>
        </w:rPr>
        <w:t>二是</w:t>
      </w:r>
      <w:r>
        <w:rPr>
          <w:rFonts w:hint="eastAsia" w:ascii="仿宋_GB2312" w:eastAsia="仿宋_GB2312"/>
          <w:sz w:val="32"/>
          <w:szCs w:val="32"/>
        </w:rPr>
        <w:t>政务公开宣传力度及群众参与度有待加强。下一步我区将继续加强政务公开力度，进一步增强政府工作透明度，提升群众满意度，努力创造最优政务服务环境。</w:t>
      </w:r>
      <w:r>
        <w:rPr>
          <w:rFonts w:hint="eastAsia" w:ascii="仿宋_GB2312" w:eastAsia="仿宋_GB2312"/>
          <w:b/>
          <w:sz w:val="32"/>
          <w:szCs w:val="32"/>
        </w:rPr>
        <w:t>一是</w:t>
      </w:r>
      <w:r>
        <w:rPr>
          <w:rFonts w:hint="eastAsia" w:ascii="仿宋_GB2312" w:eastAsia="仿宋_GB2312"/>
          <w:sz w:val="32"/>
          <w:szCs w:val="32"/>
        </w:rPr>
        <w:t>完善政务公开内容，强化重点领域政务公开，严格按照上级政务公开工作要求，进一步推进决策、执行、管理、服务、结果全过程公开，做到应公开尽公开。</w:t>
      </w:r>
      <w:r>
        <w:rPr>
          <w:rFonts w:hint="eastAsia" w:ascii="仿宋_GB2312" w:eastAsia="仿宋_GB2312"/>
          <w:b/>
          <w:sz w:val="32"/>
          <w:szCs w:val="32"/>
        </w:rPr>
        <w:t>二是</w:t>
      </w:r>
      <w:r>
        <w:rPr>
          <w:rFonts w:hint="eastAsia" w:ascii="仿宋_GB2312" w:eastAsia="仿宋_GB2312"/>
          <w:sz w:val="32"/>
          <w:szCs w:val="32"/>
        </w:rPr>
        <w:t>深入推进基层政务公开标准化、规范化试点工作，加强政务公开目录清单及内容的规范化、标准化建设。</w:t>
      </w:r>
      <w:r>
        <w:rPr>
          <w:rFonts w:hint="eastAsia" w:ascii="仿宋_GB2312" w:eastAsia="仿宋_GB2312"/>
          <w:b/>
          <w:sz w:val="32"/>
          <w:szCs w:val="32"/>
        </w:rPr>
        <w:t>三是</w:t>
      </w:r>
      <w:r>
        <w:rPr>
          <w:rFonts w:hint="eastAsia" w:ascii="仿宋_GB2312" w:eastAsia="仿宋_GB2312"/>
          <w:sz w:val="32"/>
          <w:szCs w:val="32"/>
        </w:rPr>
        <w:t>利用多种形式，多种途径广泛开展政务公开宣传，切实保障社会公众的知情权、参与权和监督权，确保政务公开服务社会公众发挥作用。四是强化监督检查工作，加大政务公开监督管理力度，提升全区政务公开工作水平。</w:t>
      </w:r>
    </w:p>
    <w:p>
      <w:pPr>
        <w:spacing w:line="660" w:lineRule="exact"/>
        <w:ind w:firstLine="640" w:firstLineChars="200"/>
        <w:rPr>
          <w:rFonts w:ascii="仿宋_GB2312" w:eastAsia="仿宋_GB2312"/>
          <w:sz w:val="32"/>
          <w:szCs w:val="32"/>
        </w:rPr>
      </w:pPr>
      <w:r>
        <w:rPr>
          <w:rFonts w:hint="eastAsia" w:ascii="仿宋_GB2312" w:eastAsia="仿宋_GB2312"/>
          <w:sz w:val="32"/>
          <w:szCs w:val="32"/>
        </w:rPr>
        <w:t>附：2018年呼和浩特市新城区政府信息公开工作统计表</w:t>
      </w:r>
    </w:p>
    <w:p>
      <w:pPr>
        <w:spacing w:line="660" w:lineRule="exact"/>
        <w:ind w:firstLine="640" w:firstLineChars="200"/>
        <w:rPr>
          <w:rFonts w:ascii="仿宋_GB2312" w:eastAsia="仿宋_GB2312"/>
          <w:sz w:val="32"/>
          <w:szCs w:val="32"/>
        </w:rPr>
      </w:pPr>
    </w:p>
    <w:p>
      <w:pPr>
        <w:spacing w:line="660" w:lineRule="exact"/>
        <w:rPr>
          <w:rFonts w:ascii="仿宋_GB2312" w:eastAsia="仿宋_GB2312"/>
          <w:sz w:val="32"/>
          <w:szCs w:val="32"/>
        </w:rPr>
      </w:pPr>
    </w:p>
    <w:p>
      <w:pPr>
        <w:spacing w:line="660" w:lineRule="exact"/>
        <w:rPr>
          <w:rFonts w:ascii="仿宋_GB2312" w:eastAsia="仿宋_GB2312"/>
          <w:sz w:val="32"/>
          <w:szCs w:val="32"/>
        </w:rPr>
      </w:pPr>
    </w:p>
    <w:p>
      <w:pPr>
        <w:spacing w:line="660" w:lineRule="exact"/>
        <w:rPr>
          <w:rFonts w:ascii="仿宋_GB2312" w:eastAsia="仿宋_GB2312"/>
          <w:sz w:val="32"/>
          <w:szCs w:val="32"/>
        </w:rPr>
      </w:pPr>
    </w:p>
    <w:p>
      <w:pPr>
        <w:spacing w:line="660" w:lineRule="exact"/>
        <w:rPr>
          <w:rFonts w:ascii="仿宋_GB2312" w:eastAsia="仿宋_GB2312"/>
          <w:sz w:val="32"/>
          <w:szCs w:val="32"/>
        </w:rPr>
      </w:pPr>
    </w:p>
    <w:p>
      <w:pPr>
        <w:spacing w:line="660" w:lineRule="exact"/>
        <w:rPr>
          <w:rFonts w:ascii="仿宋_GB2312" w:eastAsia="仿宋_GB2312"/>
          <w:sz w:val="32"/>
          <w:szCs w:val="32"/>
        </w:rPr>
      </w:pPr>
    </w:p>
    <w:p>
      <w:pPr>
        <w:spacing w:line="660" w:lineRule="exact"/>
        <w:rPr>
          <w:rFonts w:ascii="仿宋_GB2312" w:eastAsia="仿宋_GB2312"/>
          <w:sz w:val="32"/>
          <w:szCs w:val="32"/>
        </w:rPr>
      </w:pPr>
      <w:r>
        <w:rPr>
          <w:rFonts w:hint="eastAsia" w:ascii="仿宋_GB2312" w:eastAsia="仿宋_GB2312"/>
          <w:sz w:val="32"/>
          <w:szCs w:val="32"/>
        </w:rPr>
        <w:t>附件：</w:t>
      </w:r>
    </w:p>
    <w:p>
      <w:pPr>
        <w:spacing w:line="60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2018年呼和浩特市新城区</w:t>
      </w:r>
    </w:p>
    <w:p>
      <w:pPr>
        <w:spacing w:line="60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政府信息公开工作统计表</w:t>
      </w:r>
    </w:p>
    <w:p>
      <w:pPr>
        <w:spacing w:line="600" w:lineRule="exact"/>
        <w:jc w:val="center"/>
        <w:rPr>
          <w:rFonts w:ascii="方正小标宋简体" w:eastAsia="方正小标宋简体" w:cs="Times New Roman"/>
          <w:sz w:val="44"/>
          <w:szCs w:val="44"/>
        </w:rPr>
      </w:pPr>
      <w:r>
        <w:rPr>
          <w:rFonts w:ascii="Calibri" w:eastAsia="宋体" w:cs="Calibri"/>
          <w:szCs w:val="21"/>
        </w:rPr>
        <mc:AlternateContent>
          <mc:Choice Requires="wps">
            <w:drawing>
              <wp:anchor distT="0" distB="0" distL="114300" distR="114300" simplePos="0" relativeHeight="251667456" behindDoc="0" locked="0" layoutInCell="1" allowOverlap="1">
                <wp:simplePos x="0" y="0"/>
                <wp:positionH relativeFrom="column">
                  <wp:posOffset>-582295</wp:posOffset>
                </wp:positionH>
                <wp:positionV relativeFrom="paragraph">
                  <wp:posOffset>431165</wp:posOffset>
                </wp:positionV>
                <wp:extent cx="3253105" cy="403860"/>
                <wp:effectExtent l="0" t="0" r="0" b="0"/>
                <wp:wrapNone/>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3253105" cy="403860"/>
                        </a:xfrm>
                        <a:prstGeom prst="rect">
                          <a:avLst/>
                        </a:prstGeom>
                        <a:noFill/>
                        <a:ln>
                          <a:noFill/>
                        </a:ln>
                      </wps:spPr>
                      <wps:txbx>
                        <w:txbxContent>
                          <w:p>
                            <w:pPr>
                              <w:jc w:val="center"/>
                              <w:rPr>
                                <w:rFonts w:ascii="方正仿宋简体" w:eastAsia="方正仿宋简体" w:cs="Times New Roman"/>
                                <w:color w:val="000000"/>
                                <w:sz w:val="28"/>
                                <w:szCs w:val="28"/>
                              </w:rPr>
                            </w:pPr>
                            <w:r>
                              <w:rPr>
                                <w:rFonts w:hint="eastAsia" w:ascii="方正仿宋简体" w:eastAsia="方正仿宋简体" w:cs="方正仿宋简体"/>
                                <w:color w:val="000000"/>
                                <w:sz w:val="28"/>
                                <w:szCs w:val="28"/>
                              </w:rPr>
                              <w:t>填表单位：新城区人民政府办公室</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45.85pt;margin-top:33.95pt;height:31.8pt;width:256.15pt;z-index:251667456;v-text-anchor:middle;mso-width-relative:page;mso-height-relative:page;" filled="f" stroked="f" coordsize="21600,21600" o:gfxdata="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FZAx9YAAAAKAQAADwAAAAAAAAABACAA&#10;AAAiAAAAZHJzL2Rvd25yZXYueG1sUEsBAhQAFAAAAAgAh07iQNkqBhsPAgAACgQAAA4AAAAAAAAA&#10;AQAgAAAAJQEAAGRycy9lMm9Eb2MueG1sUEsFBgAAAAAGAAYAWQEAAKYFAAAAAA==&#10;">
                <v:fill on="f" focussize="0,0"/>
                <v:stroke on="f"/>
                <v:imagedata o:title=""/>
                <o:lock v:ext="edit" aspectratio="f"/>
                <v:textbox>
                  <w:txbxContent>
                    <w:p>
                      <w:pPr>
                        <w:jc w:val="center"/>
                        <w:rPr>
                          <w:rFonts w:ascii="方正仿宋简体" w:eastAsia="方正仿宋简体" w:cs="Times New Roman"/>
                          <w:color w:val="000000"/>
                          <w:sz w:val="28"/>
                          <w:szCs w:val="28"/>
                        </w:rPr>
                      </w:pPr>
                      <w:r>
                        <w:rPr>
                          <w:rFonts w:hint="eastAsia" w:ascii="方正仿宋简体" w:eastAsia="方正仿宋简体" w:cs="方正仿宋简体"/>
                          <w:color w:val="000000"/>
                          <w:sz w:val="28"/>
                          <w:szCs w:val="28"/>
                        </w:rPr>
                        <w:t>填表单位：新城区人民政府办公室</w:t>
                      </w:r>
                    </w:p>
                  </w:txbxContent>
                </v:textbox>
              </v:rect>
            </w:pict>
          </mc:Fallback>
        </mc:AlternateContent>
      </w:r>
    </w:p>
    <w:tbl>
      <w:tblPr>
        <w:tblStyle w:val="7"/>
        <w:tblpPr w:leftFromText="180" w:rightFromText="180" w:vertAnchor="text" w:horzAnchor="margin" w:tblpX="-811" w:tblpY="782"/>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2"/>
        <w:gridCol w:w="712"/>
        <w:gridCol w:w="856"/>
        <w:gridCol w:w="3864"/>
      </w:tblGrid>
      <w:tr>
        <w:tblPrEx>
          <w:tblCellMar>
            <w:top w:w="0" w:type="dxa"/>
            <w:left w:w="108" w:type="dxa"/>
            <w:bottom w:w="0" w:type="dxa"/>
            <w:right w:w="108" w:type="dxa"/>
          </w:tblCellMar>
        </w:tblPrEx>
        <w:trPr>
          <w:trHeight w:val="833" w:hRule="atLeast"/>
        </w:trPr>
        <w:tc>
          <w:tcPr>
            <w:tcW w:w="4882" w:type="dxa"/>
            <w:vAlign w:val="center"/>
          </w:tcPr>
          <w:p>
            <w:pPr>
              <w:widowControl/>
              <w:jc w:val="center"/>
              <w:textAlignment w:val="center"/>
              <w:rPr>
                <w:rFonts w:ascii="黑体" w:hAnsi="黑体" w:eastAsia="黑体" w:cs="Times New Roman"/>
                <w:sz w:val="24"/>
                <w:szCs w:val="24"/>
              </w:rPr>
            </w:pPr>
            <w:r>
              <w:rPr>
                <w:rFonts w:hint="eastAsia" w:ascii="黑体" w:hAnsi="黑体" w:eastAsia="黑体" w:cs="黑体"/>
                <w:kern w:val="0"/>
                <w:sz w:val="24"/>
                <w:szCs w:val="24"/>
              </w:rPr>
              <w:t>统计指标</w:t>
            </w:r>
          </w:p>
        </w:tc>
        <w:tc>
          <w:tcPr>
            <w:tcW w:w="712" w:type="dxa"/>
            <w:vAlign w:val="center"/>
          </w:tcPr>
          <w:p>
            <w:pPr>
              <w:widowControl/>
              <w:jc w:val="center"/>
              <w:textAlignment w:val="center"/>
              <w:rPr>
                <w:rFonts w:ascii="黑体" w:hAnsi="黑体" w:eastAsia="黑体" w:cs="Times New Roman"/>
                <w:sz w:val="24"/>
                <w:szCs w:val="24"/>
              </w:rPr>
            </w:pPr>
            <w:r>
              <w:rPr>
                <w:rFonts w:hint="eastAsia" w:ascii="黑体" w:hAnsi="黑体" w:eastAsia="黑体" w:cs="黑体"/>
                <w:kern w:val="0"/>
                <w:sz w:val="24"/>
                <w:szCs w:val="24"/>
              </w:rPr>
              <w:t>单位</w:t>
            </w:r>
          </w:p>
        </w:tc>
        <w:tc>
          <w:tcPr>
            <w:tcW w:w="856" w:type="dxa"/>
            <w:vAlign w:val="center"/>
          </w:tcPr>
          <w:p>
            <w:pPr>
              <w:widowControl/>
              <w:jc w:val="center"/>
              <w:textAlignment w:val="center"/>
              <w:rPr>
                <w:rFonts w:ascii="黑体" w:hAnsi="黑体" w:eastAsia="黑体" w:cs="Times New Roman"/>
                <w:sz w:val="24"/>
                <w:szCs w:val="24"/>
              </w:rPr>
            </w:pPr>
            <w:r>
              <w:rPr>
                <w:rFonts w:hint="eastAsia" w:ascii="黑体" w:hAnsi="黑体" w:eastAsia="黑体" w:cs="黑体"/>
                <w:kern w:val="0"/>
                <w:sz w:val="24"/>
                <w:szCs w:val="24"/>
              </w:rPr>
              <w:t>统计数</w:t>
            </w:r>
          </w:p>
        </w:tc>
        <w:tc>
          <w:tcPr>
            <w:tcW w:w="3864" w:type="dxa"/>
            <w:vMerge w:val="restart"/>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指按照《条例》规定，统计年度内主动公开的政府信息总条数。</w:t>
            </w:r>
          </w:p>
          <w:p>
            <w:pPr>
              <w:widowControl/>
              <w:jc w:val="left"/>
              <w:textAlignment w:val="center"/>
              <w:rPr>
                <w:rFonts w:eastAsia="仿宋"/>
                <w:color w:val="000000"/>
                <w:kern w:val="0"/>
                <w:sz w:val="24"/>
                <w:szCs w:val="24"/>
              </w:rPr>
            </w:pPr>
            <w:r>
              <w:rPr>
                <w:rFonts w:hint="eastAsia" w:eastAsia="仿宋"/>
                <w:color w:val="000000"/>
                <w:kern w:val="0"/>
                <w:sz w:val="24"/>
                <w:szCs w:val="24"/>
              </w:rPr>
              <w:t>主动公开政府信息数按条计算。凡公文类政府信息，</w:t>
            </w:r>
            <w:r>
              <w:rPr>
                <w:rFonts w:eastAsia="仿宋"/>
                <w:color w:val="000000"/>
                <w:kern w:val="0"/>
                <w:sz w:val="24"/>
                <w:szCs w:val="24"/>
              </w:rPr>
              <w:t>1</w:t>
            </w:r>
            <w:r>
              <w:rPr>
                <w:rFonts w:hint="eastAsia" w:eastAsia="仿宋"/>
                <w:color w:val="000000"/>
                <w:kern w:val="0"/>
                <w:sz w:val="24"/>
                <w:szCs w:val="24"/>
              </w:rPr>
              <w:t>件公文计为</w:t>
            </w:r>
            <w:r>
              <w:rPr>
                <w:rFonts w:eastAsia="仿宋"/>
                <w:color w:val="000000"/>
                <w:kern w:val="0"/>
                <w:sz w:val="24"/>
                <w:szCs w:val="24"/>
              </w:rPr>
              <w:t>1</w:t>
            </w:r>
            <w:r>
              <w:rPr>
                <w:rFonts w:hint="eastAsia" w:eastAsia="仿宋"/>
                <w:color w:val="000000"/>
                <w:kern w:val="0"/>
                <w:sz w:val="24"/>
                <w:szCs w:val="24"/>
              </w:rPr>
              <w:t>条，部分内容公开的公文也计为</w:t>
            </w:r>
            <w:r>
              <w:rPr>
                <w:rFonts w:eastAsia="仿宋"/>
                <w:color w:val="000000"/>
                <w:kern w:val="0"/>
                <w:sz w:val="24"/>
                <w:szCs w:val="24"/>
              </w:rPr>
              <w:t>1</w:t>
            </w:r>
            <w:r>
              <w:rPr>
                <w:rFonts w:hint="eastAsia" w:eastAsia="仿宋"/>
                <w:color w:val="000000"/>
                <w:kern w:val="0"/>
                <w:sz w:val="24"/>
                <w:szCs w:val="24"/>
              </w:rPr>
              <w:t>条。其他政府信息，</w:t>
            </w:r>
            <w:r>
              <w:rPr>
                <w:rFonts w:eastAsia="仿宋"/>
                <w:color w:val="000000"/>
                <w:kern w:val="0"/>
                <w:sz w:val="24"/>
                <w:szCs w:val="24"/>
              </w:rPr>
              <w:t>1</w:t>
            </w:r>
            <w:r>
              <w:rPr>
                <w:rFonts w:hint="eastAsia" w:eastAsia="仿宋"/>
                <w:color w:val="000000"/>
                <w:kern w:val="0"/>
                <w:sz w:val="24"/>
                <w:szCs w:val="24"/>
              </w:rPr>
              <w:t>份完整的信息（或其中部分公开的信息）计为</w:t>
            </w:r>
            <w:r>
              <w:rPr>
                <w:rFonts w:eastAsia="仿宋"/>
                <w:color w:val="000000"/>
                <w:kern w:val="0"/>
                <w:sz w:val="24"/>
                <w:szCs w:val="24"/>
              </w:rPr>
              <w:t>1</w:t>
            </w:r>
            <w:r>
              <w:rPr>
                <w:rFonts w:hint="eastAsia" w:eastAsia="仿宋"/>
                <w:color w:val="000000"/>
                <w:kern w:val="0"/>
                <w:sz w:val="24"/>
                <w:szCs w:val="24"/>
              </w:rPr>
              <w:t>条。</w:t>
            </w:r>
          </w:p>
          <w:p>
            <w:pPr>
              <w:widowControl/>
              <w:jc w:val="left"/>
              <w:textAlignment w:val="center"/>
              <w:rPr>
                <w:rFonts w:ascii="黑体" w:hAnsi="黑体" w:eastAsia="黑体" w:cs="Times New Roman"/>
                <w:kern w:val="0"/>
                <w:sz w:val="24"/>
                <w:szCs w:val="24"/>
              </w:rPr>
            </w:pPr>
            <w:r>
              <w:rPr>
                <w:rFonts w:hint="eastAsia" w:eastAsia="仿宋"/>
                <w:color w:val="000000"/>
                <w:kern w:val="0"/>
                <w:sz w:val="24"/>
                <w:szCs w:val="24"/>
              </w:rPr>
              <w:t>主动公开政府信息数不重复计算。通过不同渠道和方式公开的同一条政府信息计为</w:t>
            </w:r>
            <w:r>
              <w:rPr>
                <w:rFonts w:eastAsia="仿宋"/>
                <w:color w:val="000000"/>
                <w:kern w:val="0"/>
                <w:sz w:val="24"/>
                <w:szCs w:val="24"/>
              </w:rPr>
              <w:t>1</w:t>
            </w:r>
            <w:r>
              <w:rPr>
                <w:rFonts w:hint="eastAsia" w:eastAsia="仿宋"/>
                <w:color w:val="000000"/>
                <w:kern w:val="0"/>
                <w:sz w:val="24"/>
                <w:szCs w:val="24"/>
              </w:rPr>
              <w:t>条信息；部门联合发布的信息以牵头制作该信息的部门为填报单位；各单位转载、转发的信息不计入本单位统计数量。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4882" w:type="dxa"/>
            <w:vAlign w:val="center"/>
          </w:tcPr>
          <w:p>
            <w:pPr>
              <w:widowControl/>
              <w:textAlignment w:val="center"/>
              <w:rPr>
                <w:rFonts w:eastAsia="仿宋" w:cs="Times New Roman"/>
                <w:b/>
                <w:bCs/>
                <w:color w:val="000000"/>
                <w:sz w:val="24"/>
                <w:szCs w:val="24"/>
              </w:rPr>
            </w:pPr>
            <w:r>
              <w:rPr>
                <w:rFonts w:hint="eastAsia" w:ascii="宋体" w:hAnsi="宋体" w:cs="宋体"/>
                <w:b/>
                <w:bCs/>
                <w:color w:val="000000"/>
                <w:kern w:val="0"/>
                <w:sz w:val="24"/>
                <w:szCs w:val="24"/>
              </w:rPr>
              <w:t>一、主动公开情况</w:t>
            </w:r>
          </w:p>
        </w:tc>
        <w:tc>
          <w:tcPr>
            <w:tcW w:w="712" w:type="dxa"/>
            <w:vAlign w:val="center"/>
          </w:tcPr>
          <w:p>
            <w:pPr>
              <w:widowControl/>
              <w:jc w:val="center"/>
              <w:textAlignment w:val="center"/>
              <w:rPr>
                <w:rFonts w:eastAsia="仿宋" w:cs="Times New Roman"/>
                <w:color w:val="000000"/>
                <w:sz w:val="24"/>
                <w:szCs w:val="24"/>
              </w:rPr>
            </w:pPr>
            <w:r>
              <w:rPr>
                <w:rFonts w:eastAsia="仿宋"/>
                <w:color w:val="000000"/>
                <w:kern w:val="0"/>
                <w:sz w:val="24"/>
                <w:szCs w:val="24"/>
              </w:rPr>
              <w:t>—</w:t>
            </w:r>
          </w:p>
        </w:tc>
        <w:tc>
          <w:tcPr>
            <w:tcW w:w="856" w:type="dxa"/>
            <w:vAlign w:val="center"/>
          </w:tcPr>
          <w:p>
            <w:pPr>
              <w:rPr>
                <w:rFonts w:eastAsia="仿宋" w:cs="Times New Roman"/>
                <w:color w:val="FFFFFF"/>
                <w:sz w:val="24"/>
                <w:szCs w:val="24"/>
              </w:rPr>
            </w:pPr>
          </w:p>
        </w:tc>
        <w:tc>
          <w:tcPr>
            <w:tcW w:w="3864" w:type="dxa"/>
            <w:vMerge w:val="continue"/>
          </w:tcPr>
          <w:p>
            <w:pPr>
              <w:pStyle w:val="3"/>
              <w:spacing w:line="220" w:lineRule="exact"/>
              <w:ind w:firstLine="0" w:firstLineChars="0"/>
              <w:rPr>
                <w:rFonts w:ascii="方正仿宋简体" w:hAnsi="宋体" w:eastAsia="方正仿宋简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jc w:val="left"/>
              <w:textAlignment w:val="center"/>
              <w:rPr>
                <w:rFonts w:eastAsia="仿宋" w:cs="Times New Roman"/>
                <w:color w:val="000000"/>
                <w:sz w:val="24"/>
                <w:szCs w:val="24"/>
              </w:rPr>
            </w:pPr>
            <w:r>
              <w:rPr>
                <w:rFonts w:hint="eastAsia" w:eastAsia="仿宋" w:cs="仿宋"/>
                <w:color w:val="000000"/>
                <w:kern w:val="0"/>
                <w:sz w:val="24"/>
                <w:szCs w:val="24"/>
              </w:rPr>
              <w:t>（一）主动公开政府信息数（不同渠道和方式公开相同信息计</w:t>
            </w:r>
            <w:r>
              <w:rPr>
                <w:rFonts w:eastAsia="仿宋"/>
                <w:color w:val="000000"/>
                <w:kern w:val="0"/>
                <w:sz w:val="24"/>
                <w:szCs w:val="24"/>
              </w:rPr>
              <w:t>1</w:t>
            </w:r>
            <w:r>
              <w:rPr>
                <w:rFonts w:hint="eastAsia" w:eastAsia="仿宋" w:cs="仿宋"/>
                <w:color w:val="000000"/>
                <w:kern w:val="0"/>
                <w:sz w:val="24"/>
                <w:szCs w:val="24"/>
              </w:rPr>
              <w:t>条）</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32165</w:t>
            </w:r>
          </w:p>
        </w:tc>
        <w:tc>
          <w:tcPr>
            <w:tcW w:w="3864" w:type="dxa"/>
            <w:vMerge w:val="continue"/>
          </w:tcPr>
          <w:p>
            <w:pPr>
              <w:widowControl/>
              <w:spacing w:line="220" w:lineRule="exact"/>
              <w:textAlignment w:val="center"/>
              <w:rPr>
                <w:rFonts w:eastAsia="仿宋" w:cs="Times New Roman"/>
                <w:color w:val="FFFFF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其中：主动公开规范性文件数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3</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指主动公开的规范性文件总条数。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制发规范性文件总数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3</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指制发规范性文件总件数，应为主动公开数和未主动公开数的合计数。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（二）通过不同渠道和方式公开政府信息</w:t>
            </w:r>
            <w:r>
              <w:rPr>
                <w:rFonts w:eastAsia="仿宋" w:cs="Times New Roman"/>
                <w:color w:val="000000"/>
                <w:kern w:val="0"/>
                <w:sz w:val="24"/>
                <w:szCs w:val="24"/>
              </w:rPr>
              <w:br w:type="textWrapping"/>
            </w:r>
            <w:r>
              <w:rPr>
                <w:rFonts w:hint="eastAsia" w:eastAsia="仿宋" w:cs="仿宋"/>
                <w:color w:val="000000"/>
                <w:kern w:val="0"/>
                <w:sz w:val="24"/>
                <w:szCs w:val="24"/>
              </w:rPr>
              <w:t>的情况</w:t>
            </w:r>
          </w:p>
        </w:tc>
        <w:tc>
          <w:tcPr>
            <w:tcW w:w="712" w:type="dxa"/>
            <w:vAlign w:val="center"/>
          </w:tcPr>
          <w:p>
            <w:pPr>
              <w:widowControl/>
              <w:jc w:val="center"/>
              <w:textAlignment w:val="center"/>
              <w:rPr>
                <w:rFonts w:eastAsia="仿宋" w:cs="Times New Roman"/>
                <w:color w:val="000000"/>
                <w:sz w:val="24"/>
                <w:szCs w:val="24"/>
              </w:rPr>
            </w:pPr>
            <w:r>
              <w:rPr>
                <w:rFonts w:eastAsia="仿宋"/>
                <w:color w:val="000000"/>
                <w:kern w:val="0"/>
                <w:sz w:val="24"/>
                <w:szCs w:val="24"/>
              </w:rPr>
              <w:t>—</w:t>
            </w:r>
          </w:p>
        </w:tc>
        <w:tc>
          <w:tcPr>
            <w:tcW w:w="856" w:type="dxa"/>
            <w:vAlign w:val="center"/>
          </w:tcPr>
          <w:p>
            <w:pPr>
              <w:rPr>
                <w:rFonts w:eastAsia="仿宋" w:cs="Times New Roman"/>
                <w:sz w:val="24"/>
                <w:szCs w:val="24"/>
              </w:rPr>
            </w:pPr>
          </w:p>
        </w:tc>
        <w:tc>
          <w:tcPr>
            <w:tcW w:w="3864" w:type="dxa"/>
            <w:vAlign w:val="center"/>
          </w:tcPr>
          <w:p>
            <w:pPr>
              <w:widowControl/>
              <w:jc w:val="left"/>
              <w:textAlignment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1.</w:t>
            </w:r>
            <w:r>
              <w:rPr>
                <w:rFonts w:hint="eastAsia" w:eastAsia="仿宋" w:cs="仿宋"/>
                <w:color w:val="000000"/>
                <w:kern w:val="0"/>
                <w:sz w:val="24"/>
                <w:szCs w:val="24"/>
              </w:rPr>
              <w:t>政府公报公开政府信息数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55</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指通过政府公报主动公开的政府信息总条数。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2.</w:t>
            </w:r>
            <w:r>
              <w:rPr>
                <w:rFonts w:hint="eastAsia" w:eastAsia="仿宋" w:cs="仿宋"/>
                <w:color w:val="000000"/>
                <w:kern w:val="0"/>
                <w:sz w:val="24"/>
                <w:szCs w:val="24"/>
              </w:rPr>
              <w:t>政府网站公开政府信息数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30165</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指通过各级政府网站主动公开的政府信息总条数。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3.</w:t>
            </w:r>
            <w:r>
              <w:rPr>
                <w:rFonts w:hint="eastAsia" w:eastAsia="仿宋" w:cs="仿宋"/>
                <w:color w:val="000000"/>
                <w:kern w:val="0"/>
                <w:sz w:val="24"/>
                <w:szCs w:val="24"/>
              </w:rPr>
              <w:t>政务微博公开政府信息数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1068</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指通过官方政务微博主动公开的政府信息总条数。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4.</w:t>
            </w:r>
            <w:r>
              <w:rPr>
                <w:rFonts w:hint="eastAsia" w:eastAsia="仿宋" w:cs="仿宋"/>
                <w:color w:val="000000"/>
                <w:kern w:val="0"/>
                <w:sz w:val="24"/>
                <w:szCs w:val="24"/>
              </w:rPr>
              <w:t>政务微信公开政府信息数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1153</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指通过官方政务微信主动公开的政府信息总条数。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5.</w:t>
            </w:r>
            <w:r>
              <w:rPr>
                <w:rFonts w:hint="eastAsia" w:eastAsia="仿宋" w:cs="仿宋"/>
                <w:color w:val="000000"/>
                <w:kern w:val="0"/>
                <w:sz w:val="24"/>
                <w:szCs w:val="24"/>
              </w:rPr>
              <w:t>其他方式公开政府信息数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1000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指通过报刊、广播、电视等其他方式主动公开的政府信息总条数。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ascii="宋体" w:hAnsi="宋体" w:cs="宋体"/>
                <w:b/>
                <w:bCs/>
                <w:color w:val="000000"/>
                <w:kern w:val="0"/>
                <w:sz w:val="24"/>
                <w:szCs w:val="24"/>
              </w:rPr>
              <w:t>二、回应解读情况</w:t>
            </w:r>
          </w:p>
        </w:tc>
        <w:tc>
          <w:tcPr>
            <w:tcW w:w="712" w:type="dxa"/>
            <w:vAlign w:val="center"/>
          </w:tcPr>
          <w:p>
            <w:pPr>
              <w:widowControl/>
              <w:jc w:val="center"/>
              <w:textAlignment w:val="center"/>
              <w:rPr>
                <w:rFonts w:eastAsia="仿宋" w:cs="Times New Roman"/>
                <w:color w:val="000000"/>
                <w:sz w:val="24"/>
                <w:szCs w:val="24"/>
              </w:rPr>
            </w:pPr>
            <w:r>
              <w:rPr>
                <w:rFonts w:eastAsia="仿宋"/>
                <w:color w:val="000000"/>
                <w:kern w:val="0"/>
                <w:sz w:val="24"/>
                <w:szCs w:val="24"/>
              </w:rPr>
              <w:t>—</w:t>
            </w:r>
          </w:p>
        </w:tc>
        <w:tc>
          <w:tcPr>
            <w:tcW w:w="856" w:type="dxa"/>
            <w:vAlign w:val="center"/>
          </w:tcPr>
          <w:p>
            <w:pPr>
              <w:rPr>
                <w:rFonts w:eastAsia="仿宋" w:cs="Times New Roman"/>
                <w:sz w:val="24"/>
                <w:szCs w:val="24"/>
              </w:rPr>
            </w:pPr>
          </w:p>
        </w:tc>
        <w:tc>
          <w:tcPr>
            <w:tcW w:w="3864" w:type="dxa"/>
            <w:vAlign w:val="center"/>
          </w:tcPr>
          <w:p>
            <w:pPr>
              <w:widowControl/>
              <w:jc w:val="left"/>
              <w:textAlignment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882" w:type="dxa"/>
            <w:vAlign w:val="center"/>
          </w:tcPr>
          <w:p>
            <w:pPr>
              <w:widowControl/>
              <w:jc w:val="left"/>
              <w:textAlignment w:val="center"/>
              <w:rPr>
                <w:rFonts w:eastAsia="仿宋" w:cs="Times New Roman"/>
                <w:color w:val="000000"/>
                <w:sz w:val="24"/>
                <w:szCs w:val="24"/>
              </w:rPr>
            </w:pPr>
            <w:r>
              <w:rPr>
                <w:rFonts w:hint="eastAsia" w:eastAsia="仿宋" w:cs="仿宋"/>
                <w:color w:val="000000"/>
                <w:kern w:val="0"/>
                <w:sz w:val="24"/>
                <w:szCs w:val="24"/>
              </w:rPr>
              <w:t>（一）回应公众关注热点或重大舆情数（不同方式回应同一热点或舆情计</w:t>
            </w:r>
            <w:r>
              <w:rPr>
                <w:rFonts w:eastAsia="仿宋"/>
                <w:color w:val="000000"/>
                <w:kern w:val="0"/>
                <w:sz w:val="24"/>
                <w:szCs w:val="24"/>
              </w:rPr>
              <w:t>1</w:t>
            </w:r>
            <w:r>
              <w:rPr>
                <w:rFonts w:hint="eastAsia" w:eastAsia="仿宋" w:cs="仿宋"/>
                <w:color w:val="000000"/>
                <w:kern w:val="0"/>
                <w:sz w:val="24"/>
                <w:szCs w:val="24"/>
              </w:rPr>
              <w:t>次）</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18</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指回应涉及本单位职责的公众关注热点或重大舆情的次数。</w:t>
            </w:r>
          </w:p>
          <w:p>
            <w:pPr>
              <w:widowControl/>
              <w:jc w:val="left"/>
              <w:textAlignment w:val="center"/>
              <w:rPr>
                <w:rFonts w:eastAsia="仿宋"/>
                <w:color w:val="000000"/>
                <w:kern w:val="0"/>
                <w:sz w:val="24"/>
                <w:szCs w:val="24"/>
              </w:rPr>
            </w:pPr>
            <w:r>
              <w:rPr>
                <w:rFonts w:hint="eastAsia" w:eastAsia="仿宋"/>
                <w:color w:val="000000"/>
                <w:kern w:val="0"/>
                <w:sz w:val="24"/>
                <w:szCs w:val="24"/>
              </w:rPr>
              <w:t>回应公众关注热点或重大舆情数不重复计算。以多种形式回应同一热点或舆情的计为</w:t>
            </w:r>
            <w:r>
              <w:rPr>
                <w:rFonts w:eastAsia="仿宋"/>
                <w:color w:val="000000"/>
                <w:kern w:val="0"/>
                <w:sz w:val="24"/>
                <w:szCs w:val="24"/>
              </w:rPr>
              <w:t>1</w:t>
            </w:r>
            <w:r>
              <w:rPr>
                <w:rFonts w:hint="eastAsia" w:eastAsia="仿宋"/>
                <w:color w:val="000000"/>
                <w:kern w:val="0"/>
                <w:sz w:val="24"/>
                <w:szCs w:val="24"/>
              </w:rPr>
              <w:t>次回应；联合发布的回应情况以回应该热点或舆情的牵头负责单位为填报单位；各单位转载、转发的回应情况不计入本单位统计数量。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（二）通过不同渠道和方式回应解读的情</w:t>
            </w:r>
            <w:r>
              <w:rPr>
                <w:rFonts w:eastAsia="仿宋" w:cs="Times New Roman"/>
                <w:color w:val="000000"/>
                <w:kern w:val="0"/>
                <w:sz w:val="24"/>
                <w:szCs w:val="24"/>
              </w:rPr>
              <w:br w:type="textWrapping"/>
            </w:r>
            <w:r>
              <w:rPr>
                <w:rFonts w:hint="eastAsia" w:eastAsia="仿宋" w:cs="仿宋"/>
                <w:color w:val="000000"/>
                <w:kern w:val="0"/>
                <w:sz w:val="24"/>
                <w:szCs w:val="24"/>
              </w:rPr>
              <w:t>况</w:t>
            </w:r>
          </w:p>
        </w:tc>
        <w:tc>
          <w:tcPr>
            <w:tcW w:w="712" w:type="dxa"/>
            <w:vAlign w:val="center"/>
          </w:tcPr>
          <w:p>
            <w:pPr>
              <w:widowControl/>
              <w:jc w:val="center"/>
              <w:textAlignment w:val="center"/>
              <w:rPr>
                <w:rFonts w:eastAsia="仿宋" w:cs="Times New Roman"/>
                <w:color w:val="000000"/>
                <w:sz w:val="24"/>
                <w:szCs w:val="24"/>
              </w:rPr>
            </w:pPr>
            <w:r>
              <w:rPr>
                <w:rFonts w:eastAsia="仿宋"/>
                <w:color w:val="000000"/>
                <w:kern w:val="0"/>
                <w:sz w:val="24"/>
                <w:szCs w:val="24"/>
              </w:rPr>
              <w:t>—</w:t>
            </w:r>
          </w:p>
        </w:tc>
        <w:tc>
          <w:tcPr>
            <w:tcW w:w="856" w:type="dxa"/>
            <w:vAlign w:val="center"/>
          </w:tcPr>
          <w:p>
            <w:pPr>
              <w:widowControl/>
              <w:textAlignment w:val="center"/>
              <w:rPr>
                <w:rFonts w:eastAsia="仿宋" w:cs="Times New Roman"/>
                <w:sz w:val="24"/>
                <w:szCs w:val="24"/>
              </w:rPr>
            </w:pPr>
          </w:p>
        </w:tc>
        <w:tc>
          <w:tcPr>
            <w:tcW w:w="3864" w:type="dxa"/>
            <w:vAlign w:val="center"/>
          </w:tcPr>
          <w:p>
            <w:pPr>
              <w:widowControl/>
              <w:jc w:val="left"/>
              <w:textAlignment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1.</w:t>
            </w:r>
            <w:r>
              <w:rPr>
                <w:rFonts w:hint="eastAsia" w:eastAsia="仿宋" w:cs="仿宋"/>
                <w:color w:val="000000"/>
                <w:kern w:val="0"/>
                <w:sz w:val="24"/>
                <w:szCs w:val="24"/>
              </w:rPr>
              <w:t>参加或举办新闻发布会总次数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4</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指为解读政策、回应社会关切、引导舆论而参加或举办的新闻发布会、媒体通气会等的总次数。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其中：主要负责同志参加新闻发布</w:t>
            </w:r>
            <w:r>
              <w:rPr>
                <w:rFonts w:eastAsia="仿宋" w:cs="Times New Roman"/>
                <w:color w:val="000000"/>
                <w:kern w:val="0"/>
                <w:sz w:val="24"/>
                <w:szCs w:val="24"/>
              </w:rPr>
              <w:br w:type="textWrapping"/>
            </w:r>
            <w:r>
              <w:rPr>
                <w:rFonts w:hint="eastAsia" w:eastAsia="仿宋" w:cs="仿宋"/>
                <w:color w:val="000000"/>
                <w:kern w:val="0"/>
                <w:sz w:val="24"/>
                <w:szCs w:val="24"/>
              </w:rPr>
              <w:t>会次数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4</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指本单位主要负责同志为解读政策、回应社会关切、引导舆论而参加各类新闻发布会、媒体通气会等的总次数。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2.</w:t>
            </w:r>
            <w:r>
              <w:rPr>
                <w:rFonts w:hint="eastAsia" w:eastAsia="仿宋" w:cs="仿宋"/>
                <w:color w:val="000000"/>
                <w:kern w:val="0"/>
                <w:sz w:val="24"/>
                <w:szCs w:val="24"/>
              </w:rPr>
              <w:t>政府网站在线访谈次数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5</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指本单位有关负责同志或新闻发言人为解读政策、回应社会关切、引导舆论在政府网站接受在线访谈的总次数。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其中：主要负责同志参加政府网站</w:t>
            </w:r>
            <w:r>
              <w:rPr>
                <w:rFonts w:eastAsia="仿宋" w:cs="Times New Roman"/>
                <w:color w:val="000000"/>
                <w:kern w:val="0"/>
                <w:sz w:val="24"/>
                <w:szCs w:val="24"/>
              </w:rPr>
              <w:br w:type="textWrapping"/>
            </w:r>
            <w:r>
              <w:rPr>
                <w:rFonts w:hint="eastAsia" w:eastAsia="仿宋" w:cs="仿宋"/>
                <w:color w:val="000000"/>
                <w:kern w:val="0"/>
                <w:sz w:val="24"/>
                <w:szCs w:val="24"/>
              </w:rPr>
              <w:t>在线访谈数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指本单位主要负责同志为解读政策、回应社会关切、引导舆论在政府网站接受在线访谈的总次数。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3.</w:t>
            </w:r>
            <w:r>
              <w:rPr>
                <w:rFonts w:hint="eastAsia" w:eastAsia="仿宋" w:cs="仿宋"/>
                <w:color w:val="000000"/>
                <w:kern w:val="0"/>
                <w:sz w:val="24"/>
                <w:szCs w:val="24"/>
              </w:rPr>
              <w:t>政策解读稿件发布数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篇</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104</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指通过政府网站、新闻发布会、媒体通气会以及报刊、广播、电视等方式发布政策解读稿件的总篇数。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4.</w:t>
            </w:r>
            <w:r>
              <w:rPr>
                <w:rFonts w:hint="eastAsia" w:eastAsia="仿宋" w:cs="仿宋"/>
                <w:color w:val="000000"/>
                <w:kern w:val="0"/>
                <w:sz w:val="24"/>
                <w:szCs w:val="24"/>
              </w:rPr>
              <w:t>微博微信回应事件数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 xml:space="preserve">38                                                           </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指通过官方政务微博、微信回应的热点事件总次数（同一事件多次回应计为</w:t>
            </w:r>
            <w:r>
              <w:rPr>
                <w:rFonts w:eastAsia="仿宋"/>
                <w:color w:val="000000"/>
                <w:kern w:val="0"/>
                <w:sz w:val="24"/>
                <w:szCs w:val="24"/>
              </w:rPr>
              <w:t>1</w:t>
            </w:r>
            <w:r>
              <w:rPr>
                <w:rFonts w:hint="eastAsia" w:eastAsia="仿宋"/>
                <w:color w:val="000000"/>
                <w:kern w:val="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sz w:val="24"/>
                <w:szCs w:val="24"/>
              </w:rPr>
            </w:pPr>
            <w:r>
              <w:rPr>
                <w:rFonts w:eastAsia="仿宋"/>
                <w:kern w:val="0"/>
                <w:sz w:val="24"/>
                <w:szCs w:val="24"/>
              </w:rPr>
              <w:t xml:space="preserve">    5.</w:t>
            </w:r>
            <w:r>
              <w:rPr>
                <w:rFonts w:hint="eastAsia" w:eastAsia="仿宋" w:cs="仿宋"/>
                <w:kern w:val="0"/>
                <w:sz w:val="24"/>
                <w:szCs w:val="24"/>
              </w:rPr>
              <w:t>其他方式回应事件数</w:t>
            </w:r>
          </w:p>
        </w:tc>
        <w:tc>
          <w:tcPr>
            <w:tcW w:w="712" w:type="dxa"/>
            <w:vAlign w:val="center"/>
          </w:tcPr>
          <w:p>
            <w:pPr>
              <w:widowControl/>
              <w:jc w:val="center"/>
              <w:textAlignment w:val="center"/>
              <w:rPr>
                <w:rFonts w:eastAsia="仿宋" w:cs="Times New Roman"/>
                <w:sz w:val="24"/>
                <w:szCs w:val="24"/>
              </w:rPr>
            </w:pPr>
            <w:r>
              <w:rPr>
                <w:rFonts w:hint="eastAsia" w:eastAsia="仿宋" w:cs="仿宋"/>
                <w:kern w:val="0"/>
                <w:sz w:val="24"/>
                <w:szCs w:val="24"/>
              </w:rPr>
              <w:t>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344</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指通过广播、电视、报刊等其他方式回应的热点事件总次数（同一事件多次回应计为</w:t>
            </w:r>
            <w:r>
              <w:rPr>
                <w:rFonts w:eastAsia="仿宋"/>
                <w:color w:val="000000"/>
                <w:kern w:val="0"/>
                <w:sz w:val="24"/>
                <w:szCs w:val="24"/>
              </w:rPr>
              <w:t>1</w:t>
            </w:r>
            <w:r>
              <w:rPr>
                <w:rFonts w:hint="eastAsia" w:eastAsia="仿宋"/>
                <w:color w:val="000000"/>
                <w:kern w:val="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ascii="宋体" w:hAnsi="宋体" w:cs="宋体"/>
                <w:b/>
                <w:bCs/>
                <w:color w:val="000000"/>
                <w:kern w:val="0"/>
                <w:sz w:val="24"/>
                <w:szCs w:val="24"/>
              </w:rPr>
              <w:t>三、依申请公开情况</w:t>
            </w:r>
          </w:p>
        </w:tc>
        <w:tc>
          <w:tcPr>
            <w:tcW w:w="712" w:type="dxa"/>
            <w:vAlign w:val="center"/>
          </w:tcPr>
          <w:p>
            <w:pPr>
              <w:widowControl/>
              <w:jc w:val="center"/>
              <w:textAlignment w:val="center"/>
              <w:rPr>
                <w:rFonts w:eastAsia="仿宋" w:cs="Times New Roman"/>
                <w:color w:val="000000"/>
                <w:sz w:val="24"/>
                <w:szCs w:val="24"/>
              </w:rPr>
            </w:pPr>
            <w:r>
              <w:rPr>
                <w:rFonts w:eastAsia="仿宋"/>
                <w:color w:val="000000"/>
                <w:kern w:val="0"/>
                <w:sz w:val="24"/>
                <w:szCs w:val="24"/>
              </w:rPr>
              <w:t>—</w:t>
            </w:r>
          </w:p>
        </w:tc>
        <w:tc>
          <w:tcPr>
            <w:tcW w:w="856" w:type="dxa"/>
            <w:vAlign w:val="center"/>
          </w:tcPr>
          <w:p>
            <w:pPr>
              <w:rPr>
                <w:rFonts w:eastAsia="仿宋" w:cs="Times New Roman"/>
                <w:sz w:val="24"/>
                <w:szCs w:val="24"/>
              </w:rPr>
            </w:pPr>
          </w:p>
        </w:tc>
        <w:tc>
          <w:tcPr>
            <w:tcW w:w="3864" w:type="dxa"/>
            <w:vAlign w:val="center"/>
          </w:tcPr>
          <w:p>
            <w:pPr>
              <w:widowControl/>
              <w:jc w:val="left"/>
              <w:textAlignment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（一）收到申请数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6</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指收到的政府信息公开申请总件数，申请应为书面形式或数据电文形式（应等于当面申请数、传真申请数、网络申请数、信函申请数</w:t>
            </w:r>
            <w:r>
              <w:rPr>
                <w:rFonts w:eastAsia="仿宋"/>
                <w:color w:val="000000"/>
                <w:kern w:val="0"/>
                <w:sz w:val="24"/>
                <w:szCs w:val="24"/>
              </w:rPr>
              <w:t>4</w:t>
            </w:r>
            <w:r>
              <w:rPr>
                <w:rFonts w:hint="eastAsia" w:eastAsia="仿宋"/>
                <w:color w:val="000000"/>
                <w:kern w:val="0"/>
                <w:sz w:val="24"/>
                <w:szCs w:val="24"/>
              </w:rPr>
              <w:t>项之和）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1.</w:t>
            </w:r>
            <w:r>
              <w:rPr>
                <w:rFonts w:hint="eastAsia" w:eastAsia="仿宋" w:cs="仿宋"/>
                <w:color w:val="000000"/>
                <w:kern w:val="0"/>
                <w:sz w:val="24"/>
                <w:szCs w:val="24"/>
              </w:rPr>
              <w:t>当面申请数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4</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指公民、法人或其他组织到承担政府信息公开事务的受理点提出申请的件数。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2.</w:t>
            </w:r>
            <w:r>
              <w:rPr>
                <w:rFonts w:hint="eastAsia" w:eastAsia="仿宋" w:cs="仿宋"/>
                <w:color w:val="000000"/>
                <w:kern w:val="0"/>
                <w:sz w:val="24"/>
                <w:szCs w:val="24"/>
              </w:rPr>
              <w:t>传真申请数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指公民、法人或其他组织通过传真方式提出申请的件数。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3.</w:t>
            </w:r>
            <w:r>
              <w:rPr>
                <w:rFonts w:hint="eastAsia" w:eastAsia="仿宋" w:cs="仿宋"/>
                <w:color w:val="000000"/>
                <w:kern w:val="0"/>
                <w:sz w:val="24"/>
                <w:szCs w:val="24"/>
              </w:rPr>
              <w:t>网络申请数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指公民、法人或其他组织通过网上提交申请方式提出申请的件数。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4.</w:t>
            </w:r>
            <w:r>
              <w:rPr>
                <w:rFonts w:hint="eastAsia" w:eastAsia="仿宋" w:cs="仿宋"/>
                <w:color w:val="000000"/>
                <w:kern w:val="0"/>
                <w:sz w:val="24"/>
                <w:szCs w:val="24"/>
              </w:rPr>
              <w:t>信函申请数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2</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指公民、法人或其他组织通过信函邮寄方式提出申请的件数。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（二）申请办结数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6</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指对公民、法人或其他组织所提申请办结的总件数（应等于按时办结数和延期办结数</w:t>
            </w:r>
            <w:r>
              <w:rPr>
                <w:rFonts w:eastAsia="仿宋"/>
                <w:color w:val="000000"/>
                <w:kern w:val="0"/>
                <w:sz w:val="24"/>
                <w:szCs w:val="24"/>
              </w:rPr>
              <w:t>2</w:t>
            </w:r>
            <w:r>
              <w:rPr>
                <w:rFonts w:hint="eastAsia" w:eastAsia="仿宋"/>
                <w:color w:val="000000"/>
                <w:kern w:val="0"/>
                <w:sz w:val="24"/>
                <w:szCs w:val="24"/>
              </w:rPr>
              <w:t>项之和）。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1.</w:t>
            </w:r>
            <w:r>
              <w:rPr>
                <w:rFonts w:hint="eastAsia" w:eastAsia="仿宋" w:cs="仿宋"/>
                <w:color w:val="000000"/>
                <w:kern w:val="0"/>
                <w:sz w:val="24"/>
                <w:szCs w:val="24"/>
              </w:rPr>
              <w:t>按时办结数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4</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指根据《条例》规定，自收到申请之日起</w:t>
            </w:r>
            <w:r>
              <w:rPr>
                <w:rFonts w:eastAsia="仿宋"/>
                <w:color w:val="000000"/>
                <w:kern w:val="0"/>
                <w:sz w:val="24"/>
                <w:szCs w:val="24"/>
              </w:rPr>
              <w:t>15</w:t>
            </w:r>
            <w:r>
              <w:rPr>
                <w:rFonts w:hint="eastAsia" w:eastAsia="仿宋"/>
                <w:color w:val="000000"/>
                <w:kern w:val="0"/>
                <w:sz w:val="24"/>
                <w:szCs w:val="24"/>
              </w:rPr>
              <w:t>个工作日内予以答复的件数。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2.</w:t>
            </w:r>
            <w:r>
              <w:rPr>
                <w:rFonts w:hint="eastAsia" w:eastAsia="仿宋" w:cs="仿宋"/>
                <w:color w:val="000000"/>
                <w:kern w:val="0"/>
                <w:sz w:val="24"/>
                <w:szCs w:val="24"/>
              </w:rPr>
              <w:t>延期办结数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2</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指根据《条例》规定，在延长的</w:t>
            </w:r>
            <w:r>
              <w:rPr>
                <w:rFonts w:eastAsia="仿宋"/>
                <w:color w:val="000000"/>
                <w:kern w:val="0"/>
                <w:sz w:val="24"/>
                <w:szCs w:val="24"/>
              </w:rPr>
              <w:t>15</w:t>
            </w:r>
            <w:r>
              <w:rPr>
                <w:rFonts w:hint="eastAsia" w:eastAsia="仿宋"/>
                <w:color w:val="000000"/>
                <w:kern w:val="0"/>
                <w:sz w:val="24"/>
                <w:szCs w:val="24"/>
              </w:rPr>
              <w:t>个工作日内予以答复的件数。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（三）申请答复数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6</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所提申请的答复的总件数（应等于属于已主动公开范围数、同意公开答复数、同意部分公开答复数、不同意公开答复数、不属于本行政机关公开数、申请信息不存在数、告知作出更改补充数、告知通过其他途径办理数</w:t>
            </w:r>
            <w:r>
              <w:rPr>
                <w:rFonts w:eastAsia="仿宋"/>
                <w:color w:val="000000"/>
                <w:kern w:val="0"/>
                <w:sz w:val="24"/>
                <w:szCs w:val="24"/>
              </w:rPr>
              <w:t>8</w:t>
            </w:r>
            <w:r>
              <w:rPr>
                <w:rFonts w:hint="eastAsia" w:eastAsia="仿宋"/>
                <w:color w:val="000000"/>
                <w:kern w:val="0"/>
                <w:sz w:val="24"/>
                <w:szCs w:val="24"/>
              </w:rPr>
              <w:t>项之和）。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1.</w:t>
            </w:r>
            <w:r>
              <w:rPr>
                <w:rFonts w:hint="eastAsia" w:eastAsia="仿宋" w:cs="仿宋"/>
                <w:color w:val="000000"/>
                <w:kern w:val="0"/>
                <w:sz w:val="24"/>
                <w:szCs w:val="24"/>
              </w:rPr>
              <w:t>属于已主动公开范围数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指对公民、法人或其他组织申请公开的政府信息，属于已主动公开范围的，告知其获取该政府信息方式和途径的答复件数。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2.</w:t>
            </w:r>
            <w:r>
              <w:rPr>
                <w:rFonts w:hint="eastAsia" w:eastAsia="仿宋" w:cs="仿宋"/>
                <w:color w:val="000000"/>
                <w:kern w:val="0"/>
                <w:sz w:val="24"/>
                <w:szCs w:val="24"/>
              </w:rPr>
              <w:t>同意公开答复数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5</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指对公民、法人或其他组织申请公开的政府信息，作出同意公开的答复件数。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3.</w:t>
            </w:r>
            <w:r>
              <w:rPr>
                <w:rFonts w:hint="eastAsia" w:eastAsia="仿宋" w:cs="仿宋"/>
                <w:color w:val="000000"/>
                <w:kern w:val="0"/>
                <w:sz w:val="24"/>
                <w:szCs w:val="24"/>
              </w:rPr>
              <w:t>同意部分公开答复数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指对公民、法人或其他组织申请公开的政府信息，作出同意部分公开的答复件数。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4.</w:t>
            </w:r>
            <w:r>
              <w:rPr>
                <w:rFonts w:hint="eastAsia" w:eastAsia="仿宋" w:cs="仿宋"/>
                <w:color w:val="000000"/>
                <w:kern w:val="0"/>
                <w:sz w:val="24"/>
                <w:szCs w:val="24"/>
              </w:rPr>
              <w:t>不同意公开答复数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指对公民、法人或其他组织申请公开的政府信息，作出不同意公开的答复件数。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其中：涉及国家秘密</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指对公民、法人或其他组织申请公开的政府信息，因涉及国家秘密而不同意公开的答复件数。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涉及商业秘密</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指对公民、法人或其他组织申请公开的政府信息，因涉及商业秘密而不同意公开的答复件数。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涉及个人隐私</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指对公民、法人或其他组织申请公开的政府信息，因涉及个人隐私而不同意公开的答复件数。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危及国家安全、公共安全、经济</w:t>
            </w:r>
            <w:r>
              <w:rPr>
                <w:rFonts w:eastAsia="仿宋" w:cs="Times New Roman"/>
                <w:color w:val="000000"/>
                <w:kern w:val="0"/>
                <w:sz w:val="24"/>
                <w:szCs w:val="24"/>
              </w:rPr>
              <w:br w:type="textWrapping"/>
            </w:r>
            <w:r>
              <w:rPr>
                <w:rFonts w:hint="eastAsia" w:eastAsia="仿宋" w:cs="仿宋"/>
                <w:color w:val="000000"/>
                <w:kern w:val="0"/>
                <w:sz w:val="24"/>
                <w:szCs w:val="24"/>
              </w:rPr>
              <w:t>安全和社会稳定</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指对公民、法人或其他组织申请公开的政府信息，因危及国家安全、公共安全、经济安全和社会稳定而不同意公开的答复件数。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不是《条例》所指应公开的政府</w:t>
            </w:r>
            <w:r>
              <w:rPr>
                <w:rFonts w:eastAsia="仿宋" w:cs="Times New Roman"/>
                <w:color w:val="000000"/>
                <w:kern w:val="0"/>
                <w:sz w:val="24"/>
                <w:szCs w:val="24"/>
              </w:rPr>
              <w:br w:type="textWrapping"/>
            </w:r>
            <w:r>
              <w:rPr>
                <w:rFonts w:hint="eastAsia" w:eastAsia="仿宋" w:cs="仿宋"/>
                <w:color w:val="000000"/>
                <w:kern w:val="0"/>
                <w:sz w:val="24"/>
                <w:szCs w:val="24"/>
              </w:rPr>
              <w:t>信息</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指对公民、法人或其他组织申请公开的政府信息，告知其不是《条例》所指政府信息的答复件数。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法律法规规定的其他情形</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指对公民、法人或其他组织申请公开的政府信息，因属于法律法规规定的其他情形而不同意公开的答复件数。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5.</w:t>
            </w:r>
            <w:r>
              <w:rPr>
                <w:rFonts w:hint="eastAsia" w:eastAsia="仿宋" w:cs="仿宋"/>
                <w:color w:val="000000"/>
                <w:kern w:val="0"/>
                <w:sz w:val="24"/>
                <w:szCs w:val="24"/>
              </w:rPr>
              <w:t>不属于本行政机关公开数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指对公民、法人或其他组织申请公开的政府信息，告知其不属于本行政机关公开的答复件数。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6.</w:t>
            </w:r>
            <w:r>
              <w:rPr>
                <w:rFonts w:hint="eastAsia" w:eastAsia="仿宋" w:cs="仿宋"/>
                <w:color w:val="000000"/>
                <w:kern w:val="0"/>
                <w:sz w:val="24"/>
                <w:szCs w:val="24"/>
              </w:rPr>
              <w:t>申请信息不存在数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指对公民、法人或其他组织申请公开的政府信息，告知其该政府信息不存在的答复件数。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7.</w:t>
            </w:r>
            <w:r>
              <w:rPr>
                <w:rFonts w:hint="eastAsia" w:eastAsia="仿宋" w:cs="仿宋"/>
                <w:color w:val="000000"/>
                <w:kern w:val="0"/>
                <w:sz w:val="24"/>
                <w:szCs w:val="24"/>
              </w:rPr>
              <w:t>告知作出更改补充数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指对公民、法人或其他组织申请公开的政府信息，因申请内容不明确，告知其作出更改、补充的答复件数。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8.</w:t>
            </w:r>
            <w:r>
              <w:rPr>
                <w:rFonts w:hint="eastAsia" w:eastAsia="仿宋" w:cs="仿宋"/>
                <w:color w:val="000000"/>
                <w:kern w:val="0"/>
                <w:sz w:val="24"/>
                <w:szCs w:val="24"/>
              </w:rPr>
              <w:t>告知通过转其他途径办理数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指对公民、法人或其他组织申请公开的政府信息，告知其应通过咨询、信访、举报等其他途径办理的答复件数。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ascii="宋体" w:hAnsi="宋体" w:cs="宋体"/>
                <w:b/>
                <w:bCs/>
                <w:color w:val="000000"/>
                <w:kern w:val="0"/>
                <w:sz w:val="24"/>
                <w:szCs w:val="24"/>
              </w:rPr>
              <w:t>四、行政复议数量</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指公民、法人或其他组织认为本单位在政府信息公开工作中的具体行政行为侵犯其合法权益，依法申请行政复议且被复议机关受理的件数（应为维持具体行政行为数、被依法纠错数、其他情形数</w:t>
            </w:r>
            <w:r>
              <w:rPr>
                <w:rFonts w:eastAsia="仿宋"/>
                <w:color w:val="000000"/>
                <w:kern w:val="0"/>
                <w:sz w:val="24"/>
                <w:szCs w:val="24"/>
              </w:rPr>
              <w:t>3</w:t>
            </w:r>
            <w:r>
              <w:rPr>
                <w:rFonts w:hint="eastAsia" w:eastAsia="仿宋"/>
                <w:color w:val="000000"/>
                <w:kern w:val="0"/>
                <w:sz w:val="24"/>
                <w:szCs w:val="24"/>
              </w:rPr>
              <w:t>项之和）。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（一）维持具体行政行为数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指已办结的行政复议申请中维持原具体行政行为的件数。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（二）被依法纠错数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指已办结的行政复议申请中撤销、变更具体行政行为或确认具体行政行为违法、责令重新作出具体行政行为的件数。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（三）其他情形数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指行政复议申请中除已办结的维持具体行政行为数和被依法纠错数以外情形的件数。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ascii="宋体" w:hAnsi="宋体" w:cs="宋体"/>
                <w:b/>
                <w:bCs/>
                <w:color w:val="000000"/>
                <w:kern w:val="0"/>
                <w:sz w:val="24"/>
                <w:szCs w:val="24"/>
              </w:rPr>
              <w:t>五、行政诉讼数量</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指公民、法人或其他组织认为本单位在政府信息公开工作中的具体行政行为侵犯其合法权益，依法提起行政诉讼且被法院受理的件数（应为维持具体行政行为或者驳回原告诉讼请求数、被依法纠错数、其他情形数</w:t>
            </w:r>
            <w:r>
              <w:rPr>
                <w:rFonts w:eastAsia="仿宋"/>
                <w:color w:val="000000"/>
                <w:kern w:val="0"/>
                <w:sz w:val="24"/>
                <w:szCs w:val="24"/>
              </w:rPr>
              <w:t>3</w:t>
            </w:r>
            <w:r>
              <w:rPr>
                <w:rFonts w:hint="eastAsia" w:eastAsia="仿宋"/>
                <w:color w:val="000000"/>
                <w:kern w:val="0"/>
                <w:sz w:val="24"/>
                <w:szCs w:val="24"/>
              </w:rPr>
              <w:t>项之和）。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（一）维持具体行政行为或者驳回原告诉</w:t>
            </w:r>
            <w:r>
              <w:rPr>
                <w:rFonts w:eastAsia="仿宋" w:cs="Times New Roman"/>
                <w:color w:val="000000"/>
                <w:kern w:val="0"/>
                <w:sz w:val="24"/>
                <w:szCs w:val="24"/>
              </w:rPr>
              <w:br w:type="textWrapping"/>
            </w:r>
            <w:r>
              <w:rPr>
                <w:rFonts w:hint="eastAsia" w:eastAsia="仿宋" w:cs="仿宋"/>
                <w:color w:val="000000"/>
                <w:kern w:val="0"/>
                <w:sz w:val="24"/>
                <w:szCs w:val="24"/>
              </w:rPr>
              <w:t>讼请求数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指法院判决维持原具体行政行为或者驳回原告诉讼请求的件数。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（二）被依法纠错数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指法院判决或裁定撤销、变更具体行政行为或确认具体行政行为违法、责令重新作出具体行政行为的件数。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（三）其他情形数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指除维持具体行政行为或者驳回原告诉讼请求数和被依法纠错数以外情形的件数。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ascii="宋体" w:hAnsi="宋体" w:cs="宋体"/>
                <w:b/>
                <w:bCs/>
                <w:color w:val="000000"/>
                <w:kern w:val="0"/>
                <w:sz w:val="24"/>
                <w:szCs w:val="24"/>
              </w:rPr>
              <w:t>六、举报投诉数量</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件</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指本地区、本部门、本单位收到公民、法人或其他组织提出政府信息公开相关举报或投诉，且予以受理的件数。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ascii="宋体" w:hAnsi="宋体" w:cs="宋体"/>
                <w:b/>
                <w:bCs/>
                <w:color w:val="000000"/>
                <w:kern w:val="0"/>
                <w:sz w:val="24"/>
                <w:szCs w:val="24"/>
              </w:rPr>
              <w:t>七、依申请公开信息收取的费用</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万元</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根据财政部</w:t>
            </w:r>
            <w:r>
              <w:rPr>
                <w:rFonts w:eastAsia="仿宋"/>
                <w:color w:val="000000"/>
                <w:kern w:val="0"/>
                <w:sz w:val="24"/>
                <w:szCs w:val="24"/>
              </w:rPr>
              <w:t xml:space="preserve"> </w:t>
            </w:r>
            <w:r>
              <w:rPr>
                <w:rFonts w:hint="eastAsia" w:eastAsia="仿宋"/>
                <w:color w:val="000000"/>
                <w:kern w:val="0"/>
                <w:sz w:val="24"/>
                <w:szCs w:val="24"/>
              </w:rPr>
              <w:t>国家发改委《关于清理规范一批行政事业性收费有关政策的通知》（财税〔</w:t>
            </w:r>
            <w:r>
              <w:rPr>
                <w:rFonts w:eastAsia="仿宋"/>
                <w:color w:val="000000"/>
                <w:kern w:val="0"/>
                <w:sz w:val="24"/>
                <w:szCs w:val="24"/>
              </w:rPr>
              <w:t>2017</w:t>
            </w:r>
            <w:r>
              <w:rPr>
                <w:rFonts w:hint="eastAsia" w:eastAsia="仿宋"/>
                <w:color w:val="000000"/>
                <w:kern w:val="0"/>
                <w:sz w:val="24"/>
                <w:szCs w:val="24"/>
              </w:rPr>
              <w:t>〕</w:t>
            </w:r>
            <w:r>
              <w:rPr>
                <w:rFonts w:eastAsia="仿宋"/>
                <w:color w:val="000000"/>
                <w:kern w:val="0"/>
                <w:sz w:val="24"/>
                <w:szCs w:val="24"/>
              </w:rPr>
              <w:t>20</w:t>
            </w:r>
            <w:r>
              <w:rPr>
                <w:rFonts w:hint="eastAsia" w:eastAsia="仿宋"/>
                <w:color w:val="000000"/>
                <w:kern w:val="0"/>
                <w:sz w:val="24"/>
                <w:szCs w:val="24"/>
              </w:rPr>
              <w:t>号）已停止收取此项费用。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ascii="宋体" w:hAnsi="宋体" w:cs="宋体"/>
                <w:b/>
                <w:bCs/>
                <w:color w:val="000000"/>
                <w:kern w:val="0"/>
                <w:sz w:val="24"/>
                <w:szCs w:val="24"/>
              </w:rPr>
              <w:t>八、机构建设和保障经费情况</w:t>
            </w:r>
          </w:p>
        </w:tc>
        <w:tc>
          <w:tcPr>
            <w:tcW w:w="712" w:type="dxa"/>
            <w:vAlign w:val="center"/>
          </w:tcPr>
          <w:p>
            <w:pPr>
              <w:widowControl/>
              <w:jc w:val="center"/>
              <w:textAlignment w:val="center"/>
              <w:rPr>
                <w:rFonts w:eastAsia="仿宋" w:cs="Times New Roman"/>
                <w:color w:val="000000"/>
                <w:sz w:val="24"/>
                <w:szCs w:val="24"/>
              </w:rPr>
            </w:pPr>
            <w:r>
              <w:rPr>
                <w:rFonts w:eastAsia="仿宋"/>
                <w:color w:val="000000"/>
                <w:kern w:val="0"/>
                <w:sz w:val="24"/>
                <w:szCs w:val="24"/>
              </w:rPr>
              <w:t>—</w:t>
            </w:r>
          </w:p>
        </w:tc>
        <w:tc>
          <w:tcPr>
            <w:tcW w:w="856" w:type="dxa"/>
            <w:vAlign w:val="center"/>
          </w:tcPr>
          <w:p>
            <w:pPr>
              <w:rPr>
                <w:rFonts w:eastAsia="仿宋" w:cs="Times New Roman"/>
                <w:sz w:val="24"/>
                <w:szCs w:val="24"/>
              </w:rPr>
            </w:pPr>
          </w:p>
        </w:tc>
        <w:tc>
          <w:tcPr>
            <w:tcW w:w="3864" w:type="dxa"/>
            <w:vAlign w:val="center"/>
          </w:tcPr>
          <w:p>
            <w:pPr>
              <w:widowControl/>
              <w:jc w:val="left"/>
              <w:textAlignment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（一）政府信息公开工作专门机构数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个</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指按照《条例》规定确定承担政府信息公开日常工作的专门机构个数。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（二）设置政府信息公开查阅点数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个</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49</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指按照《条例》要求设置的为公民、法人或其他组织提供政府信息公开查阅的场所总个数。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（三）从事政府信息公开工作人员数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人</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3</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指具体承担政府信息公开工作人员人数（应为专职人员数和兼职人员数</w:t>
            </w:r>
            <w:r>
              <w:rPr>
                <w:rFonts w:eastAsia="仿宋"/>
                <w:color w:val="000000"/>
                <w:kern w:val="0"/>
                <w:sz w:val="24"/>
                <w:szCs w:val="24"/>
              </w:rPr>
              <w:t>2</w:t>
            </w:r>
            <w:r>
              <w:rPr>
                <w:rFonts w:hint="eastAsia" w:eastAsia="仿宋"/>
                <w:color w:val="000000"/>
                <w:kern w:val="0"/>
                <w:sz w:val="24"/>
                <w:szCs w:val="24"/>
              </w:rPr>
              <w:t>项之和）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1.</w:t>
            </w:r>
            <w:r>
              <w:rPr>
                <w:rFonts w:hint="eastAsia" w:eastAsia="仿宋" w:cs="仿宋"/>
                <w:color w:val="000000"/>
                <w:kern w:val="0"/>
                <w:sz w:val="24"/>
                <w:szCs w:val="24"/>
              </w:rPr>
              <w:t>专职人员数（不包括政府公报及</w:t>
            </w:r>
            <w:r>
              <w:rPr>
                <w:rFonts w:eastAsia="仿宋" w:cs="Times New Roman"/>
                <w:color w:val="000000"/>
                <w:kern w:val="0"/>
                <w:sz w:val="24"/>
                <w:szCs w:val="24"/>
              </w:rPr>
              <w:br w:type="textWrapping"/>
            </w:r>
            <w:r>
              <w:rPr>
                <w:rFonts w:hint="eastAsia" w:eastAsia="仿宋" w:cs="仿宋"/>
                <w:color w:val="000000"/>
                <w:kern w:val="0"/>
                <w:sz w:val="24"/>
                <w:szCs w:val="24"/>
              </w:rPr>
              <w:t>政府网站工作人员数）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人</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1</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指专门承担政府信息公开工作的工作人员人数（不包括政府公报及政府网站工作人员数）。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eastAsia="仿宋"/>
                <w:color w:val="000000"/>
                <w:kern w:val="0"/>
                <w:sz w:val="24"/>
                <w:szCs w:val="24"/>
              </w:rPr>
              <w:t xml:space="preserve">     2.</w:t>
            </w:r>
            <w:r>
              <w:rPr>
                <w:rFonts w:hint="eastAsia" w:eastAsia="仿宋" w:cs="仿宋"/>
                <w:color w:val="000000"/>
                <w:kern w:val="0"/>
                <w:sz w:val="24"/>
                <w:szCs w:val="24"/>
              </w:rPr>
              <w:t>兼职人员数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人</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2</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指在承担其他工作的同时承担政府信息公开工作的工作人员人数。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（四）政府信息公开专项经费（不包括用</w:t>
            </w:r>
            <w:r>
              <w:rPr>
                <w:rFonts w:eastAsia="仿宋" w:cs="Times New Roman"/>
                <w:color w:val="000000"/>
                <w:kern w:val="0"/>
                <w:sz w:val="24"/>
                <w:szCs w:val="24"/>
              </w:rPr>
              <w:br w:type="textWrapping"/>
            </w:r>
            <w:r>
              <w:rPr>
                <w:rFonts w:hint="eastAsia" w:eastAsia="仿宋" w:cs="仿宋"/>
                <w:color w:val="000000"/>
                <w:kern w:val="0"/>
                <w:sz w:val="24"/>
                <w:szCs w:val="24"/>
              </w:rPr>
              <w:t>于政府公报编辑管理及政府网站建</w:t>
            </w:r>
            <w:r>
              <w:rPr>
                <w:rFonts w:eastAsia="仿宋" w:cs="Times New Roman"/>
                <w:color w:val="000000"/>
                <w:kern w:val="0"/>
                <w:sz w:val="24"/>
                <w:szCs w:val="24"/>
              </w:rPr>
              <w:br w:type="textWrapping"/>
            </w:r>
            <w:r>
              <w:rPr>
                <w:rFonts w:hint="eastAsia" w:eastAsia="仿宋" w:cs="仿宋"/>
                <w:color w:val="000000"/>
                <w:kern w:val="0"/>
                <w:sz w:val="24"/>
                <w:szCs w:val="24"/>
              </w:rPr>
              <w:t>设维护等方面的经费）</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万元</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2万元</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指行政机关为处理政府信息公开事务而纳入财政预算的专项经费（不包括用于政府公报编辑管理及政府网站建设维护等方面的经费）。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ascii="宋体" w:hAnsi="宋体" w:cs="宋体"/>
                <w:b/>
                <w:bCs/>
                <w:color w:val="000000"/>
                <w:kern w:val="0"/>
                <w:sz w:val="24"/>
                <w:szCs w:val="24"/>
              </w:rPr>
              <w:t>九、政府信息公开会议和培训情况</w:t>
            </w:r>
          </w:p>
        </w:tc>
        <w:tc>
          <w:tcPr>
            <w:tcW w:w="712" w:type="dxa"/>
            <w:vAlign w:val="center"/>
          </w:tcPr>
          <w:p>
            <w:pPr>
              <w:widowControl/>
              <w:jc w:val="center"/>
              <w:textAlignment w:val="center"/>
              <w:rPr>
                <w:rFonts w:eastAsia="仿宋" w:cs="Times New Roman"/>
                <w:color w:val="000000"/>
                <w:sz w:val="24"/>
                <w:szCs w:val="24"/>
              </w:rPr>
            </w:pPr>
            <w:r>
              <w:rPr>
                <w:rFonts w:eastAsia="仿宋"/>
                <w:color w:val="000000"/>
                <w:kern w:val="0"/>
                <w:sz w:val="24"/>
                <w:szCs w:val="24"/>
              </w:rPr>
              <w:t>—</w:t>
            </w:r>
          </w:p>
        </w:tc>
        <w:tc>
          <w:tcPr>
            <w:tcW w:w="856" w:type="dxa"/>
            <w:vAlign w:val="center"/>
          </w:tcPr>
          <w:p>
            <w:pPr>
              <w:rPr>
                <w:rFonts w:eastAsia="仿宋" w:cs="Times New Roman"/>
                <w:sz w:val="24"/>
                <w:szCs w:val="24"/>
              </w:rPr>
            </w:pPr>
          </w:p>
        </w:tc>
        <w:tc>
          <w:tcPr>
            <w:tcW w:w="3864" w:type="dxa"/>
            <w:vAlign w:val="center"/>
          </w:tcPr>
          <w:p>
            <w:pPr>
              <w:widowControl/>
              <w:jc w:val="left"/>
              <w:textAlignment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（一）召开政府信息公开工作会议或专题</w:t>
            </w:r>
            <w:r>
              <w:rPr>
                <w:rFonts w:eastAsia="仿宋" w:cs="Times New Roman"/>
                <w:color w:val="000000"/>
                <w:kern w:val="0"/>
                <w:sz w:val="24"/>
                <w:szCs w:val="24"/>
              </w:rPr>
              <w:br w:type="textWrapping"/>
            </w:r>
            <w:r>
              <w:rPr>
                <w:rFonts w:hint="eastAsia" w:eastAsia="仿宋" w:cs="仿宋"/>
                <w:color w:val="000000"/>
                <w:kern w:val="0"/>
                <w:sz w:val="24"/>
                <w:szCs w:val="24"/>
              </w:rPr>
              <w:t>会议数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6</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指召开涉及政府信息公开方面的工作会议或专题会议的次数。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（二）举办各类培训班数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4</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指围绕政府信息公开业务举办的各类短期、中期、长期培训班次数。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882" w:type="dxa"/>
            <w:vAlign w:val="center"/>
          </w:tcPr>
          <w:p>
            <w:pPr>
              <w:widowControl/>
              <w:textAlignment w:val="center"/>
              <w:rPr>
                <w:rFonts w:eastAsia="仿宋" w:cs="Times New Roman"/>
                <w:color w:val="000000"/>
                <w:sz w:val="24"/>
                <w:szCs w:val="24"/>
              </w:rPr>
            </w:pPr>
            <w:r>
              <w:rPr>
                <w:rFonts w:hint="eastAsia" w:eastAsia="仿宋" w:cs="仿宋"/>
                <w:color w:val="000000"/>
                <w:kern w:val="0"/>
                <w:sz w:val="24"/>
                <w:szCs w:val="24"/>
              </w:rPr>
              <w:t>（三）接受培训人员数</w:t>
            </w:r>
          </w:p>
        </w:tc>
        <w:tc>
          <w:tcPr>
            <w:tcW w:w="712" w:type="dxa"/>
            <w:vAlign w:val="center"/>
          </w:tcPr>
          <w:p>
            <w:pPr>
              <w:widowControl/>
              <w:jc w:val="center"/>
              <w:textAlignment w:val="center"/>
              <w:rPr>
                <w:rFonts w:eastAsia="仿宋" w:cs="Times New Roman"/>
                <w:color w:val="000000"/>
                <w:sz w:val="24"/>
                <w:szCs w:val="24"/>
              </w:rPr>
            </w:pPr>
            <w:r>
              <w:rPr>
                <w:rFonts w:hint="eastAsia" w:eastAsia="仿宋" w:cs="仿宋"/>
                <w:color w:val="000000"/>
                <w:kern w:val="0"/>
                <w:sz w:val="24"/>
                <w:szCs w:val="24"/>
              </w:rPr>
              <w:t>人次</w:t>
            </w:r>
          </w:p>
        </w:tc>
        <w:tc>
          <w:tcPr>
            <w:tcW w:w="856" w:type="dxa"/>
            <w:vAlign w:val="center"/>
          </w:tcPr>
          <w:p>
            <w:pPr>
              <w:widowControl/>
              <w:textAlignment w:val="center"/>
              <w:rPr>
                <w:rFonts w:eastAsia="仿宋" w:cs="Times New Roman"/>
                <w:sz w:val="24"/>
                <w:szCs w:val="24"/>
              </w:rPr>
            </w:pPr>
            <w:r>
              <w:rPr>
                <w:rFonts w:hint="eastAsia" w:eastAsia="仿宋" w:cs="Times New Roman"/>
                <w:sz w:val="24"/>
                <w:szCs w:val="24"/>
              </w:rPr>
              <w:t>700</w:t>
            </w:r>
          </w:p>
        </w:tc>
        <w:tc>
          <w:tcPr>
            <w:tcW w:w="3864" w:type="dxa"/>
            <w:vAlign w:val="center"/>
          </w:tcPr>
          <w:p>
            <w:pPr>
              <w:widowControl/>
              <w:jc w:val="left"/>
              <w:textAlignment w:val="center"/>
              <w:rPr>
                <w:rFonts w:eastAsia="仿宋"/>
                <w:color w:val="000000"/>
                <w:kern w:val="0"/>
                <w:sz w:val="24"/>
                <w:szCs w:val="24"/>
              </w:rPr>
            </w:pPr>
            <w:r>
              <w:rPr>
                <w:rFonts w:hint="eastAsia" w:eastAsia="仿宋"/>
                <w:color w:val="000000"/>
                <w:kern w:val="0"/>
                <w:sz w:val="24"/>
                <w:szCs w:val="24"/>
              </w:rPr>
              <w:t>指到政府信息公开业务培训班接受培训的工作人员人次数。</w:t>
            </w:r>
          </w:p>
        </w:tc>
      </w:tr>
    </w:tbl>
    <w:p>
      <w:pPr>
        <w:spacing w:line="600" w:lineRule="exact"/>
        <w:rPr>
          <w:rFonts w:ascii="方正仿宋简体" w:eastAsia="方正仿宋简体" w:cs="方正仿宋简体"/>
          <w:sz w:val="28"/>
          <w:szCs w:val="28"/>
        </w:rPr>
      </w:pPr>
    </w:p>
    <w:p>
      <w:pPr>
        <w:spacing w:line="660" w:lineRule="exact"/>
        <w:rPr>
          <w:rFonts w:ascii="仿宋_GB2312" w:eastAsia="仿宋_GB2312"/>
          <w:sz w:val="32"/>
          <w:szCs w:val="32"/>
        </w:rPr>
      </w:pPr>
    </w:p>
    <w:p>
      <w:pPr>
        <w:spacing w:line="660" w:lineRule="exact"/>
        <w:ind w:firstLine="640" w:firstLineChars="200"/>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mZWE0YmJlZDkyZWViMDNhYjljZDQ4NTAyNzNlM2YifQ=="/>
  </w:docVars>
  <w:rsids>
    <w:rsidRoot w:val="007F0C48"/>
    <w:rsid w:val="000F5674"/>
    <w:rsid w:val="00187530"/>
    <w:rsid w:val="001D7B99"/>
    <w:rsid w:val="003153DC"/>
    <w:rsid w:val="00322F65"/>
    <w:rsid w:val="00592F7D"/>
    <w:rsid w:val="00625A40"/>
    <w:rsid w:val="006C6F20"/>
    <w:rsid w:val="007C259E"/>
    <w:rsid w:val="007F0C48"/>
    <w:rsid w:val="009F74E5"/>
    <w:rsid w:val="00A8117E"/>
    <w:rsid w:val="00B61F4C"/>
    <w:rsid w:val="00B9404C"/>
    <w:rsid w:val="00C06790"/>
    <w:rsid w:val="00CF5320"/>
    <w:rsid w:val="00D855C2"/>
    <w:rsid w:val="00FA03FC"/>
    <w:rsid w:val="60EE21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99"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10"/>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Plain Text"/>
    <w:basedOn w:val="1"/>
    <w:link w:val="13"/>
    <w:uiPriority w:val="99"/>
    <w:pPr>
      <w:spacing w:line="600" w:lineRule="exact"/>
      <w:ind w:firstLine="200" w:firstLineChars="200"/>
    </w:pPr>
    <w:rPr>
      <w:rFonts w:ascii="宋体" w:hAnsi="Courier New" w:eastAsia="宋体" w:cs="宋体"/>
      <w:szCs w:val="21"/>
    </w:rPr>
  </w:style>
  <w:style w:type="paragraph" w:styleId="4">
    <w:name w:val="Balloon Text"/>
    <w:basedOn w:val="1"/>
    <w:link w:val="12"/>
    <w:semiHidden/>
    <w:unhideWhenUsed/>
    <w:uiPriority w:val="99"/>
    <w:rPr>
      <w:sz w:val="18"/>
      <w:szCs w:val="18"/>
    </w:rPr>
  </w:style>
  <w:style w:type="paragraph" w:styleId="5">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unhideWhenUsed/>
    <w:uiPriority w:val="99"/>
    <w:rPr>
      <w:color w:val="0000FF"/>
      <w:u w:val="single"/>
    </w:rPr>
  </w:style>
  <w:style w:type="character" w:customStyle="1" w:styleId="10">
    <w:name w:val="标题 1 Char"/>
    <w:basedOn w:val="8"/>
    <w:link w:val="2"/>
    <w:uiPriority w:val="9"/>
    <w:rPr>
      <w:rFonts w:ascii="宋体" w:hAnsi="宋体" w:eastAsia="宋体" w:cs="宋体"/>
      <w:b/>
      <w:bCs/>
      <w:kern w:val="36"/>
      <w:sz w:val="48"/>
      <w:szCs w:val="48"/>
    </w:rPr>
  </w:style>
  <w:style w:type="character" w:customStyle="1" w:styleId="11">
    <w:name w:val="页眉 Char"/>
    <w:basedOn w:val="8"/>
    <w:link w:val="5"/>
    <w:semiHidden/>
    <w:uiPriority w:val="99"/>
    <w:rPr>
      <w:sz w:val="18"/>
      <w:szCs w:val="18"/>
    </w:rPr>
  </w:style>
  <w:style w:type="character" w:customStyle="1" w:styleId="12">
    <w:name w:val="批注框文本 Char"/>
    <w:basedOn w:val="8"/>
    <w:link w:val="4"/>
    <w:semiHidden/>
    <w:uiPriority w:val="99"/>
    <w:rPr>
      <w:sz w:val="18"/>
      <w:szCs w:val="18"/>
    </w:rPr>
  </w:style>
  <w:style w:type="character" w:customStyle="1" w:styleId="13">
    <w:name w:val="纯文本 Char"/>
    <w:basedOn w:val="8"/>
    <w:link w:val="3"/>
    <w:uiPriority w:val="99"/>
    <w:rPr>
      <w:rFonts w:ascii="宋体" w:hAnsi="Courier New" w:eastAsia="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53D154-7AA3-4587-BC1E-B13F5E9C0075}">
  <ds:schemaRefs/>
</ds:datastoreItem>
</file>

<file path=docProps/app.xml><?xml version="1.0" encoding="utf-8"?>
<Properties xmlns="http://schemas.openxmlformats.org/officeDocument/2006/extended-properties" xmlns:vt="http://schemas.openxmlformats.org/officeDocument/2006/docPropsVTypes">
  <Template>Normal</Template>
  <Pages>16</Pages>
  <Words>7407</Words>
  <Characters>7627</Characters>
  <Lines>58</Lines>
  <Paragraphs>16</Paragraphs>
  <TotalTime>4</TotalTime>
  <ScaleCrop>false</ScaleCrop>
  <LinksUpToDate>false</LinksUpToDate>
  <CharactersWithSpaces>7818</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2019-01-30T08:36:00Z</dcterms:created>
  <dc:creator>xb21cn</dc:creator>
  <cp:lastModifiedBy>焦鑫</cp:lastModifiedBy>
  <cp:lastPrinted>2019-02-18T03:33:00Z</cp:lastPrinted>
  <dcterms:modified xsi:type="dcterms:W3CDTF">2024-05-11T01:33:59Z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ADEE353AE1FD47228BB6E052A6DCE246_13</vt:lpwstr>
  </property>
</Properties>
</file>