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olor w:val="auto"/>
          <w:sz w:val="32"/>
          <w:szCs w:val="40"/>
        </w:rPr>
        <w:id w:val="147481265"/>
        <w:docPartObj>
          <w:docPartGallery w:val="Table of Contents"/>
          <w:docPartUnique/>
        </w:docPartObj>
      </w:sdtPr>
      <w:sdtEndPr>
        <w:rPr>
          <w:rFonts w:hint="eastAsia" w:asciiTheme="minorHAnsi" w:hAnsiTheme="minorHAnsi" w:eastAsiaTheme="minorEastAsia"/>
          <w:b/>
          <w:color w:val="auto"/>
          <w:sz w:val="21"/>
          <w:szCs w:val="24"/>
        </w:rPr>
      </w:sdtEndPr>
      <w:sdtContent>
        <w:p>
          <w:pPr>
            <w:pageBreakBefore w:val="0"/>
            <w:widowControl w:val="0"/>
            <w:kinsoku/>
            <w:wordWrap/>
            <w:overflowPunct/>
            <w:topLinePunct w:val="0"/>
            <w:autoSpaceDE/>
            <w:autoSpaceDN/>
            <w:bidi w:val="0"/>
            <w:spacing w:line="360" w:lineRule="auto"/>
            <w:ind w:firstLine="640" w:firstLineChars="200"/>
            <w:jc w:val="center"/>
            <w:textAlignment w:val="auto"/>
            <w:rPr>
              <w:rFonts w:ascii="宋体" w:hAnsi="宋体" w:eastAsia="宋体"/>
              <w:color w:val="auto"/>
              <w:sz w:val="32"/>
              <w:szCs w:val="40"/>
            </w:rPr>
          </w:pPr>
        </w:p>
        <w:p>
          <w:pPr>
            <w:pageBreakBefore w:val="0"/>
            <w:widowControl w:val="0"/>
            <w:kinsoku/>
            <w:wordWrap/>
            <w:overflowPunct/>
            <w:topLinePunct w:val="0"/>
            <w:autoSpaceDE/>
            <w:autoSpaceDN/>
            <w:bidi w:val="0"/>
            <w:spacing w:line="360" w:lineRule="auto"/>
            <w:ind w:firstLine="640" w:firstLineChars="200"/>
            <w:jc w:val="center"/>
            <w:textAlignment w:val="auto"/>
            <w:rPr>
              <w:rFonts w:ascii="宋体" w:hAnsi="宋体" w:eastAsia="宋体"/>
              <w:color w:val="auto"/>
              <w:sz w:val="32"/>
              <w:szCs w:val="40"/>
            </w:rPr>
          </w:pPr>
        </w:p>
        <w:p>
          <w:pPr>
            <w:pageBreakBefore w:val="0"/>
            <w:widowControl w:val="0"/>
            <w:kinsoku/>
            <w:wordWrap/>
            <w:overflowPunct/>
            <w:topLinePunct w:val="0"/>
            <w:autoSpaceDE/>
            <w:autoSpaceDN/>
            <w:bidi w:val="0"/>
            <w:spacing w:line="360" w:lineRule="auto"/>
            <w:ind w:firstLine="640" w:firstLineChars="200"/>
            <w:jc w:val="center"/>
            <w:textAlignment w:val="auto"/>
            <w:rPr>
              <w:rFonts w:ascii="宋体" w:hAnsi="宋体" w:eastAsia="宋体"/>
              <w:color w:val="auto"/>
              <w:sz w:val="32"/>
              <w:szCs w:val="40"/>
            </w:rPr>
          </w:pPr>
        </w:p>
        <w:p>
          <w:pPr>
            <w:pageBreakBefore w:val="0"/>
            <w:widowControl w:val="0"/>
            <w:kinsoku/>
            <w:wordWrap/>
            <w:overflowPunct/>
            <w:topLinePunct w:val="0"/>
            <w:autoSpaceDE/>
            <w:autoSpaceDN/>
            <w:bidi w:val="0"/>
            <w:spacing w:line="360" w:lineRule="auto"/>
            <w:ind w:firstLine="640" w:firstLineChars="200"/>
            <w:jc w:val="center"/>
            <w:textAlignment w:val="auto"/>
            <w:rPr>
              <w:rFonts w:ascii="宋体" w:hAnsi="宋体" w:eastAsia="宋体"/>
              <w:color w:val="auto"/>
              <w:sz w:val="32"/>
              <w:szCs w:val="40"/>
            </w:rPr>
          </w:pPr>
        </w:p>
        <w:p>
          <w:pPr>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color w:val="auto"/>
              <w:sz w:val="48"/>
              <w:szCs w:val="48"/>
            </w:rPr>
          </w:pPr>
          <w:bookmarkStart w:id="248" w:name="_GoBack"/>
          <w:r>
            <w:rPr>
              <w:rFonts w:hint="eastAsia" w:ascii="仿宋" w:hAnsi="仿宋" w:eastAsia="仿宋" w:cs="仿宋"/>
              <w:b/>
              <w:color w:val="auto"/>
              <w:sz w:val="48"/>
              <w:szCs w:val="48"/>
            </w:rPr>
            <w:t>新城区森林草原</w:t>
          </w:r>
          <w:r>
            <w:rPr>
              <w:rFonts w:hint="eastAsia" w:ascii="仿宋" w:hAnsi="仿宋" w:eastAsia="仿宋" w:cs="仿宋"/>
              <w:b/>
              <w:color w:val="auto"/>
              <w:sz w:val="48"/>
              <w:szCs w:val="48"/>
              <w:lang w:val="en-US" w:eastAsia="zh-CN"/>
            </w:rPr>
            <w:t>火灾</w:t>
          </w:r>
          <w:r>
            <w:rPr>
              <w:rFonts w:hint="eastAsia" w:ascii="仿宋" w:hAnsi="仿宋" w:eastAsia="仿宋" w:cs="仿宋"/>
              <w:b/>
              <w:color w:val="auto"/>
              <w:sz w:val="48"/>
              <w:szCs w:val="48"/>
            </w:rPr>
            <w:t>应急预案</w:t>
          </w:r>
          <w:bookmarkEnd w:id="248"/>
        </w:p>
        <w:p>
          <w:pPr>
            <w:pageBreakBefore w:val="0"/>
            <w:widowControl w:val="0"/>
            <w:kinsoku/>
            <w:wordWrap/>
            <w:overflowPunct/>
            <w:topLinePunct w:val="0"/>
            <w:autoSpaceDE/>
            <w:autoSpaceDN/>
            <w:bidi w:val="0"/>
            <w:spacing w:line="360" w:lineRule="auto"/>
            <w:ind w:firstLine="420" w:firstLineChars="200"/>
            <w:textAlignment w:val="auto"/>
            <w:rPr>
              <w:color w:val="auto"/>
            </w:rPr>
          </w:pPr>
        </w:p>
        <w:p>
          <w:pPr>
            <w:pageBreakBefore w:val="0"/>
            <w:widowControl w:val="0"/>
            <w:kinsoku/>
            <w:wordWrap/>
            <w:overflowPunct/>
            <w:topLinePunct w:val="0"/>
            <w:autoSpaceDE/>
            <w:autoSpaceDN/>
            <w:bidi w:val="0"/>
            <w:spacing w:line="360" w:lineRule="auto"/>
            <w:ind w:firstLine="420" w:firstLineChars="200"/>
            <w:textAlignment w:val="auto"/>
            <w:rPr>
              <w:color w:val="auto"/>
            </w:rPr>
          </w:pPr>
        </w:p>
        <w:p>
          <w:pPr>
            <w:pageBreakBefore w:val="0"/>
            <w:widowControl w:val="0"/>
            <w:kinsoku/>
            <w:wordWrap/>
            <w:overflowPunct/>
            <w:topLinePunct w:val="0"/>
            <w:autoSpaceDE/>
            <w:autoSpaceDN/>
            <w:bidi w:val="0"/>
            <w:spacing w:line="360" w:lineRule="auto"/>
            <w:ind w:firstLine="420" w:firstLineChars="200"/>
            <w:textAlignment w:val="auto"/>
            <w:rPr>
              <w:color w:val="auto"/>
            </w:rPr>
          </w:pPr>
        </w:p>
        <w:p>
          <w:pPr>
            <w:pageBreakBefore w:val="0"/>
            <w:widowControl w:val="0"/>
            <w:kinsoku/>
            <w:wordWrap/>
            <w:overflowPunct/>
            <w:topLinePunct w:val="0"/>
            <w:autoSpaceDE/>
            <w:autoSpaceDN/>
            <w:bidi w:val="0"/>
            <w:spacing w:line="360" w:lineRule="auto"/>
            <w:ind w:firstLine="420" w:firstLineChars="200"/>
            <w:textAlignment w:val="auto"/>
            <w:rPr>
              <w:color w:val="auto"/>
            </w:rPr>
          </w:pPr>
        </w:p>
        <w:p>
          <w:pPr>
            <w:pageBreakBefore w:val="0"/>
            <w:widowControl w:val="0"/>
            <w:kinsoku/>
            <w:wordWrap/>
            <w:overflowPunct/>
            <w:topLinePunct w:val="0"/>
            <w:autoSpaceDE/>
            <w:autoSpaceDN/>
            <w:bidi w:val="0"/>
            <w:spacing w:line="360" w:lineRule="auto"/>
            <w:ind w:firstLine="420" w:firstLineChars="200"/>
            <w:textAlignment w:val="auto"/>
            <w:rPr>
              <w:color w:val="auto"/>
            </w:rPr>
          </w:pPr>
        </w:p>
        <w:p>
          <w:pPr>
            <w:pageBreakBefore w:val="0"/>
            <w:widowControl w:val="0"/>
            <w:kinsoku/>
            <w:wordWrap/>
            <w:overflowPunct/>
            <w:topLinePunct w:val="0"/>
            <w:autoSpaceDE/>
            <w:autoSpaceDN/>
            <w:bidi w:val="0"/>
            <w:spacing w:line="360" w:lineRule="auto"/>
            <w:ind w:firstLine="420" w:firstLineChars="200"/>
            <w:textAlignment w:val="auto"/>
            <w:rPr>
              <w:color w:val="auto"/>
            </w:rPr>
          </w:pPr>
        </w:p>
        <w:p>
          <w:pPr>
            <w:pageBreakBefore w:val="0"/>
            <w:widowControl w:val="0"/>
            <w:kinsoku/>
            <w:wordWrap/>
            <w:overflowPunct/>
            <w:topLinePunct w:val="0"/>
            <w:autoSpaceDE/>
            <w:autoSpaceDN/>
            <w:bidi w:val="0"/>
            <w:spacing w:line="360" w:lineRule="auto"/>
            <w:ind w:firstLine="420" w:firstLineChars="200"/>
            <w:jc w:val="center"/>
            <w:textAlignment w:val="auto"/>
            <w:rPr>
              <w:rFonts w:ascii="黑体" w:eastAsia="黑体"/>
              <w:color w:val="auto"/>
              <w:szCs w:val="32"/>
            </w:rPr>
          </w:pPr>
        </w:p>
        <w:p>
          <w:pPr>
            <w:pageBreakBefore w:val="0"/>
            <w:widowControl w:val="0"/>
            <w:kinsoku/>
            <w:wordWrap/>
            <w:overflowPunct/>
            <w:topLinePunct w:val="0"/>
            <w:autoSpaceDE/>
            <w:autoSpaceDN/>
            <w:bidi w:val="0"/>
            <w:spacing w:line="360" w:lineRule="auto"/>
            <w:ind w:firstLine="720" w:firstLineChars="200"/>
            <w:jc w:val="center"/>
            <w:textAlignment w:val="auto"/>
            <w:rPr>
              <w:rFonts w:ascii="黑体" w:eastAsia="黑体"/>
              <w:color w:val="auto"/>
              <w:sz w:val="36"/>
              <w:szCs w:val="36"/>
            </w:rPr>
          </w:pPr>
        </w:p>
        <w:p>
          <w:pPr>
            <w:pStyle w:val="2"/>
            <w:pageBreakBefore w:val="0"/>
            <w:widowControl w:val="0"/>
            <w:kinsoku/>
            <w:wordWrap/>
            <w:overflowPunct/>
            <w:topLinePunct w:val="0"/>
            <w:autoSpaceDE/>
            <w:autoSpaceDN/>
            <w:bidi w:val="0"/>
            <w:spacing w:line="360" w:lineRule="auto"/>
            <w:textAlignment w:val="auto"/>
            <w:rPr>
              <w:color w:val="auto"/>
            </w:rPr>
          </w:pPr>
        </w:p>
        <w:p>
          <w:pPr>
            <w:pageBreakBefore w:val="0"/>
            <w:widowControl w:val="0"/>
            <w:kinsoku/>
            <w:wordWrap/>
            <w:overflowPunct/>
            <w:topLinePunct w:val="0"/>
            <w:autoSpaceDE/>
            <w:autoSpaceDN/>
            <w:bidi w:val="0"/>
            <w:spacing w:line="360" w:lineRule="auto"/>
            <w:ind w:firstLine="720" w:firstLineChars="200"/>
            <w:jc w:val="center"/>
            <w:textAlignment w:val="auto"/>
            <w:rPr>
              <w:rFonts w:ascii="黑体" w:eastAsia="黑体"/>
              <w:color w:val="auto"/>
              <w:sz w:val="36"/>
              <w:szCs w:val="36"/>
            </w:rPr>
          </w:pPr>
        </w:p>
        <w:p>
          <w:pPr>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新城区人民政府</w:t>
          </w:r>
        </w:p>
        <w:p>
          <w:pPr>
            <w:pStyle w:val="2"/>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32"/>
              <w:szCs w:val="32"/>
              <w:lang w:val="en-US" w:eastAsia="zh-CN"/>
            </w:rPr>
          </w:pPr>
          <w:bookmarkStart w:id="0" w:name="_Toc14413"/>
          <w:bookmarkStart w:id="1" w:name="_Toc25330"/>
          <w:bookmarkStart w:id="2" w:name="_Toc1210"/>
          <w:bookmarkStart w:id="3" w:name="_Toc32650"/>
          <w:bookmarkStart w:id="4" w:name="_Toc21697"/>
          <w:bookmarkStart w:id="5" w:name="_Toc760"/>
          <w:bookmarkStart w:id="6" w:name="_Toc15385"/>
          <w:bookmarkStart w:id="7" w:name="_Toc716"/>
          <w:bookmarkStart w:id="8" w:name="_Toc30594"/>
          <w:r>
            <w:rPr>
              <w:rFonts w:hint="eastAsia" w:ascii="仿宋" w:hAnsi="仿宋" w:eastAsia="仿宋" w:cs="仿宋"/>
              <w:b/>
              <w:bCs/>
              <w:color w:val="auto"/>
              <w:sz w:val="32"/>
              <w:szCs w:val="32"/>
              <w:lang w:val="en-US" w:eastAsia="zh-CN"/>
            </w:rPr>
            <w:t>2022年8月</w:t>
          </w:r>
          <w:bookmarkEnd w:id="0"/>
          <w:bookmarkEnd w:id="1"/>
          <w:bookmarkEnd w:id="2"/>
          <w:bookmarkEnd w:id="3"/>
          <w:bookmarkEnd w:id="4"/>
          <w:bookmarkEnd w:id="5"/>
          <w:bookmarkEnd w:id="6"/>
          <w:bookmarkEnd w:id="7"/>
          <w:bookmarkEnd w:id="8"/>
        </w:p>
        <w:p>
          <w:pPr>
            <w:pStyle w:val="2"/>
            <w:pageBreakBefore w:val="0"/>
            <w:widowControl w:val="0"/>
            <w:kinsoku/>
            <w:wordWrap/>
            <w:overflowPunct/>
            <w:topLinePunct w:val="0"/>
            <w:autoSpaceDE/>
            <w:autoSpaceDN/>
            <w:bidi w:val="0"/>
            <w:spacing w:line="360" w:lineRule="auto"/>
            <w:ind w:firstLine="723" w:firstLineChars="200"/>
            <w:textAlignment w:val="auto"/>
            <w:rPr>
              <w:rFonts w:ascii="黑体" w:eastAsia="黑体"/>
              <w:color w:val="auto"/>
              <w:sz w:val="36"/>
              <w:szCs w:val="36"/>
            </w:rPr>
          </w:pPr>
        </w:p>
        <w:p>
          <w:pPr>
            <w:pageBreakBefore w:val="0"/>
            <w:widowControl w:val="0"/>
            <w:kinsoku/>
            <w:wordWrap/>
            <w:overflowPunct/>
            <w:topLinePunct w:val="0"/>
            <w:autoSpaceDE/>
            <w:autoSpaceDN/>
            <w:bidi w:val="0"/>
            <w:spacing w:line="360" w:lineRule="auto"/>
            <w:ind w:firstLine="720" w:firstLineChars="200"/>
            <w:textAlignment w:val="auto"/>
            <w:rPr>
              <w:rFonts w:ascii="黑体" w:eastAsia="黑体"/>
              <w:color w:val="auto"/>
              <w:sz w:val="36"/>
              <w:szCs w:val="36"/>
            </w:rPr>
          </w:pPr>
        </w:p>
        <w:p>
          <w:pPr>
            <w:pageBreakBefore w:val="0"/>
            <w:widowControl w:val="0"/>
            <w:kinsoku/>
            <w:wordWrap/>
            <w:overflowPunct/>
            <w:topLinePunct w:val="0"/>
            <w:autoSpaceDE/>
            <w:autoSpaceDN/>
            <w:bidi w:val="0"/>
            <w:spacing w:line="360" w:lineRule="auto"/>
            <w:ind w:firstLine="420" w:firstLineChars="200"/>
            <w:textAlignment w:val="auto"/>
            <w:rPr>
              <w:color w:val="auto"/>
            </w:rPr>
          </w:pPr>
          <w:r>
            <w:rPr>
              <w:color w:val="auto"/>
            </w:rPr>
            <w:br w:type="page"/>
          </w:r>
        </w:p>
        <w:p>
          <w:pPr>
            <w:pageBreakBefore w:val="0"/>
            <w:widowControl w:val="0"/>
            <w:tabs>
              <w:tab w:val="right" w:leader="dot" w:pos="8306"/>
            </w:tabs>
            <w:kinsoku/>
            <w:wordWrap/>
            <w:overflowPunct/>
            <w:topLinePunct w:val="0"/>
            <w:autoSpaceDE/>
            <w:autoSpaceDN/>
            <w:bidi w:val="0"/>
            <w:spacing w:line="360" w:lineRule="auto"/>
            <w:ind w:firstLine="640" w:firstLineChars="200"/>
            <w:jc w:val="center"/>
            <w:textAlignment w:val="auto"/>
            <w:rPr>
              <w:rFonts w:hint="eastAsia" w:asciiTheme="minorHAnsi" w:hAnsiTheme="minorHAnsi" w:eastAsiaTheme="minorEastAsia" w:cstheme="minorBidi"/>
              <w:color w:val="auto"/>
              <w:kern w:val="2"/>
              <w:sz w:val="21"/>
              <w:szCs w:val="24"/>
              <w:lang w:val="en-US" w:eastAsia="zh-CN" w:bidi="ar-SA"/>
            </w:rPr>
          </w:pPr>
          <w:r>
            <w:rPr>
              <w:rFonts w:ascii="宋体" w:hAnsi="宋体" w:eastAsia="宋体"/>
              <w:color w:val="auto"/>
              <w:sz w:val="32"/>
              <w:szCs w:val="40"/>
            </w:rPr>
            <w:t>目</w:t>
          </w:r>
          <w:r>
            <w:rPr>
              <w:rFonts w:hint="eastAsia" w:ascii="宋体" w:hAnsi="宋体" w:eastAsia="宋体"/>
              <w:color w:val="auto"/>
              <w:sz w:val="32"/>
              <w:szCs w:val="40"/>
            </w:rPr>
            <w:t xml:space="preserve">     </w:t>
          </w:r>
          <w:r>
            <w:rPr>
              <w:rFonts w:ascii="宋体" w:hAnsi="宋体" w:eastAsia="宋体"/>
              <w:color w:val="auto"/>
              <w:sz w:val="32"/>
              <w:szCs w:val="40"/>
            </w:rPr>
            <w:t>录</w:t>
          </w:r>
          <w:r>
            <w:rPr>
              <w:rFonts w:hint="eastAsia"/>
              <w:color w:val="auto"/>
            </w:rPr>
            <w:fldChar w:fldCharType="begin"/>
          </w:r>
          <w:r>
            <w:rPr>
              <w:rFonts w:hint="eastAsia"/>
              <w:color w:val="auto"/>
            </w:rPr>
            <w:instrText xml:space="preserve">TOC \o "1-2" \h \u </w:instrText>
          </w:r>
          <w:r>
            <w:rPr>
              <w:rFonts w:hint="eastAsia"/>
              <w:color w:val="auto"/>
            </w:rPr>
            <w:fldChar w:fldCharType="separate"/>
          </w:r>
        </w:p>
        <w:p>
          <w:pPr>
            <w:pStyle w:val="10"/>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_Toc25336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1 总则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_Toc25336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_Toc28582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rPr>
            <w:t>1.1 编制目的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_Toc28582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_Toc21927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rPr>
            <w:t>1.2 编制依据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_Toc21927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_Toc11447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rPr>
            <w:t>1.3 适用范围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_Toc11447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_Toc17597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rPr>
            <w:t>1.4 指导思想</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_Toc17597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_Toc15290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rPr>
            <w:t>1.5 工作原则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_Toc15290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0"/>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_Toc5511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rPr>
            <w:t>2 主要任务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_Toc5511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_Toc6145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rPr>
            <w:t>2.1 组织灭火行动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_Toc6145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_Toc15460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rPr>
            <w:t>2.2 解救疏散人员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_Toc15460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_Toc31099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rPr>
            <w:t>2.3 保护重要目标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_Toc31099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_Toc31331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rPr>
            <w:t>2.4 转移重要物资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_Toc31331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_Toc27221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rPr>
            <w:t>2.5 维护社会稳定</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_Toc27221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0"/>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_Toc12531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lang w:val="en-US" w:eastAsia="zh-CN"/>
            </w:rPr>
            <w:t>3</w:t>
          </w:r>
          <w:r>
            <w:rPr>
              <w:rFonts w:hint="eastAsia" w:ascii="仿宋" w:hAnsi="仿宋" w:eastAsia="仿宋" w:cs="仿宋"/>
              <w:bCs/>
              <w:kern w:val="44"/>
              <w:sz w:val="28"/>
              <w:szCs w:val="28"/>
            </w:rPr>
            <w:t xml:space="preserve"> 组织指挥体系与职责</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_Toc12531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_Toc3688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lang w:val="en-US" w:eastAsia="zh-CN"/>
            </w:rPr>
            <w:t>3</w:t>
          </w:r>
          <w:r>
            <w:rPr>
              <w:rFonts w:hint="eastAsia" w:ascii="仿宋" w:hAnsi="仿宋" w:eastAsia="仿宋" w:cs="仿宋"/>
              <w:bCs/>
              <w:kern w:val="44"/>
              <w:sz w:val="28"/>
              <w:szCs w:val="28"/>
            </w:rPr>
            <w:t>.1 森林草原防灭火指挥机构</w:t>
          </w:r>
          <w:r>
            <w:rPr>
              <w:rFonts w:hint="eastAsia" w:ascii="仿宋" w:hAnsi="仿宋" w:eastAsia="仿宋" w:cs="仿宋"/>
              <w:bCs/>
              <w:kern w:val="44"/>
              <w:sz w:val="28"/>
              <w:szCs w:val="28"/>
              <w:lang w:val="en-US" w:eastAsia="zh-CN"/>
            </w:rPr>
            <w:t>及其成员单位</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_Toc3688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_Toc17418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lang w:val="en-US" w:eastAsia="zh-CN"/>
            </w:rPr>
            <w:t>3.2 扑火指挥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_Toc17418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_Toc21331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highlight w:val="none"/>
              <w:lang w:val="en-US" w:eastAsia="zh-CN"/>
            </w:rPr>
            <w:t>3.3 应急处置工作组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_Toc21331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_Toc1631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lang w:val="en-US" w:eastAsia="zh-CN"/>
            </w:rPr>
            <w:t>3.4 专家组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_Toc1631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0"/>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_Toc13876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lang w:val="en-US" w:eastAsia="zh-CN"/>
            </w:rPr>
            <w:t>4 处置力量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_Toc13876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_Toc18615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lang w:val="en-US" w:eastAsia="zh-CN"/>
            </w:rPr>
            <w:t>4.1 力量编成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_Toc18615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_Toc29788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highlight w:val="none"/>
              <w:lang w:val="en-US" w:eastAsia="zh-CN"/>
            </w:rPr>
            <w:t>4.2 力量调动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_Toc29788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0"/>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_Toc11344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lang w:val="en-US" w:eastAsia="zh-CN"/>
            </w:rPr>
            <w:t>5 预警和信息报告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_Toc11344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_Toc26230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lang w:val="en-US" w:eastAsia="zh-CN"/>
            </w:rPr>
            <w:t>5.1 预警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_Toc26230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_Toc6640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lang w:val="en-US" w:eastAsia="zh-CN"/>
            </w:rPr>
            <w:t>5.2 预警预报与信息报告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_Toc6640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0"/>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_Toc493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lang w:val="en-US" w:eastAsia="zh-CN"/>
            </w:rPr>
            <w:t>6 应急响应</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_Toc493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_Toc2597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lang w:val="en-US" w:eastAsia="zh-CN"/>
            </w:rPr>
            <w:t>6.1 分级响应</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_Toc2597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_Toc6818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lang w:val="en-US" w:eastAsia="zh-CN"/>
            </w:rPr>
            <w:t>6.2 响应措施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_Toc6818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0"/>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_Toc28847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lang w:val="en-US" w:eastAsia="zh-CN"/>
            </w:rPr>
            <w:t>7 区级层面应对工作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_Toc28847 \h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_Toc3884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lang w:val="en-US" w:eastAsia="zh-CN"/>
            </w:rPr>
            <w:t>7.1 Ⅲ级响应</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_Toc3884 \h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_Toc27704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lang w:val="en-US" w:eastAsia="zh-CN"/>
            </w:rPr>
            <w:t>7.2 Ⅱ级响应</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_Toc27704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_Toc7224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lang w:val="en-US" w:eastAsia="zh-CN"/>
            </w:rPr>
            <w:t>7.3 Ⅰ级响应</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_Toc7224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_Toc9408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lang w:val="en-US" w:eastAsia="zh-CN"/>
            </w:rPr>
            <w:t>7.4 启动条件调整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_Toc9408 \h </w:instrText>
          </w:r>
          <w:r>
            <w:rPr>
              <w:rFonts w:hint="eastAsia" w:ascii="仿宋" w:hAnsi="仿宋" w:eastAsia="仿宋" w:cs="仿宋"/>
              <w:sz w:val="28"/>
              <w:szCs w:val="28"/>
            </w:rPr>
            <w:fldChar w:fldCharType="separate"/>
          </w:r>
          <w:r>
            <w:rPr>
              <w:rFonts w:hint="eastAsia" w:ascii="仿宋" w:hAnsi="仿宋" w:eastAsia="仿宋" w:cs="仿宋"/>
              <w:sz w:val="28"/>
              <w:szCs w:val="28"/>
            </w:rPr>
            <w:t>30</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_Toc14273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lang w:val="en-US" w:eastAsia="zh-CN"/>
            </w:rPr>
            <w:t>7.5 响应终止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_Toc14273 \h </w:instrText>
          </w:r>
          <w:r>
            <w:rPr>
              <w:rFonts w:hint="eastAsia" w:ascii="仿宋" w:hAnsi="仿宋" w:eastAsia="仿宋" w:cs="仿宋"/>
              <w:sz w:val="28"/>
              <w:szCs w:val="28"/>
            </w:rPr>
            <w:fldChar w:fldCharType="separate"/>
          </w:r>
          <w:r>
            <w:rPr>
              <w:rFonts w:hint="eastAsia" w:ascii="仿宋" w:hAnsi="仿宋" w:eastAsia="仿宋" w:cs="仿宋"/>
              <w:sz w:val="28"/>
              <w:szCs w:val="28"/>
            </w:rPr>
            <w:t>30</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0"/>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_Toc22115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lang w:val="en-US" w:eastAsia="zh-CN"/>
            </w:rPr>
            <w:t>8 后期处置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_Toc22115 \h </w:instrText>
          </w:r>
          <w:r>
            <w:rPr>
              <w:rFonts w:hint="eastAsia" w:ascii="仿宋" w:hAnsi="仿宋" w:eastAsia="仿宋" w:cs="仿宋"/>
              <w:sz w:val="28"/>
              <w:szCs w:val="28"/>
            </w:rPr>
            <w:fldChar w:fldCharType="separate"/>
          </w:r>
          <w:r>
            <w:rPr>
              <w:rFonts w:hint="eastAsia" w:ascii="仿宋" w:hAnsi="仿宋" w:eastAsia="仿宋" w:cs="仿宋"/>
              <w:sz w:val="28"/>
              <w:szCs w:val="28"/>
            </w:rPr>
            <w:t>30</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_Toc6971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lang w:val="en-US" w:eastAsia="zh-CN"/>
            </w:rPr>
            <w:t>8.1 火灾评估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_Toc6971 \h </w:instrText>
          </w:r>
          <w:r>
            <w:rPr>
              <w:rFonts w:hint="eastAsia" w:ascii="仿宋" w:hAnsi="仿宋" w:eastAsia="仿宋" w:cs="仿宋"/>
              <w:sz w:val="28"/>
              <w:szCs w:val="28"/>
            </w:rPr>
            <w:fldChar w:fldCharType="separate"/>
          </w:r>
          <w:r>
            <w:rPr>
              <w:rFonts w:hint="eastAsia" w:ascii="仿宋" w:hAnsi="仿宋" w:eastAsia="仿宋" w:cs="仿宋"/>
              <w:sz w:val="28"/>
              <w:szCs w:val="28"/>
            </w:rPr>
            <w:t>31</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_Toc13162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lang w:val="en-US" w:eastAsia="zh-CN"/>
            </w:rPr>
            <w:t>8.2 工作总结</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_Toc13162 \h </w:instrText>
          </w:r>
          <w:r>
            <w:rPr>
              <w:rFonts w:hint="eastAsia" w:ascii="仿宋" w:hAnsi="仿宋" w:eastAsia="仿宋" w:cs="仿宋"/>
              <w:sz w:val="28"/>
              <w:szCs w:val="28"/>
            </w:rPr>
            <w:fldChar w:fldCharType="separate"/>
          </w:r>
          <w:r>
            <w:rPr>
              <w:rFonts w:hint="eastAsia" w:ascii="仿宋" w:hAnsi="仿宋" w:eastAsia="仿宋" w:cs="仿宋"/>
              <w:sz w:val="28"/>
              <w:szCs w:val="28"/>
            </w:rPr>
            <w:t>31</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_Toc7143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lang w:val="en-US" w:eastAsia="zh-CN"/>
            </w:rPr>
            <w:t>8.3 奖励与责任追究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_Toc7143 \h </w:instrText>
          </w:r>
          <w:r>
            <w:rPr>
              <w:rFonts w:hint="eastAsia" w:ascii="仿宋" w:hAnsi="仿宋" w:eastAsia="仿宋" w:cs="仿宋"/>
              <w:sz w:val="28"/>
              <w:szCs w:val="28"/>
            </w:rPr>
            <w:fldChar w:fldCharType="separate"/>
          </w:r>
          <w:r>
            <w:rPr>
              <w:rFonts w:hint="eastAsia" w:ascii="仿宋" w:hAnsi="仿宋" w:eastAsia="仿宋" w:cs="仿宋"/>
              <w:sz w:val="28"/>
              <w:szCs w:val="28"/>
            </w:rPr>
            <w:t>31</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0"/>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_Toc24515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lang w:val="en-US" w:eastAsia="zh-CN"/>
            </w:rPr>
            <w:t>9 综合保障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_Toc24515 \h </w:instrText>
          </w:r>
          <w:r>
            <w:rPr>
              <w:rFonts w:hint="eastAsia" w:ascii="仿宋" w:hAnsi="仿宋" w:eastAsia="仿宋" w:cs="仿宋"/>
              <w:sz w:val="28"/>
              <w:szCs w:val="28"/>
            </w:rPr>
            <w:fldChar w:fldCharType="separate"/>
          </w:r>
          <w:r>
            <w:rPr>
              <w:rFonts w:hint="eastAsia" w:ascii="仿宋" w:hAnsi="仿宋" w:eastAsia="仿宋" w:cs="仿宋"/>
              <w:sz w:val="28"/>
              <w:szCs w:val="28"/>
            </w:rPr>
            <w:t>31</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_Toc10981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lang w:val="en-US" w:eastAsia="zh-CN"/>
            </w:rPr>
            <w:t>9.1 队伍保障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_Toc10981 \h </w:instrText>
          </w:r>
          <w:r>
            <w:rPr>
              <w:rFonts w:hint="eastAsia" w:ascii="仿宋" w:hAnsi="仿宋" w:eastAsia="仿宋" w:cs="仿宋"/>
              <w:sz w:val="28"/>
              <w:szCs w:val="28"/>
            </w:rPr>
            <w:fldChar w:fldCharType="separate"/>
          </w:r>
          <w:r>
            <w:rPr>
              <w:rFonts w:hint="eastAsia" w:ascii="仿宋" w:hAnsi="仿宋" w:eastAsia="仿宋" w:cs="仿宋"/>
              <w:sz w:val="28"/>
              <w:szCs w:val="28"/>
            </w:rPr>
            <w:t>31</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_Toc6481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lang w:val="en-US" w:eastAsia="zh-CN"/>
            </w:rPr>
            <w:t>9.2 运输保障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_Toc6481 \h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_Toc25283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lang w:val="en-US" w:eastAsia="zh-CN"/>
            </w:rPr>
            <w:t>9.3 航空消防飞机保障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_Toc25283 \h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_Toc31675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lang w:val="en-US" w:eastAsia="zh-CN"/>
            </w:rPr>
            <w:t>9.4 通信与信息保障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_Toc31675 \h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_Toc30361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lang w:val="en-US" w:eastAsia="zh-CN"/>
            </w:rPr>
            <w:t>9.5 物资保障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_Toc30361 \h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_Toc923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lang w:val="en-US" w:eastAsia="zh-CN"/>
            </w:rPr>
            <w:t>9.6 资金保障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_Toc923 \h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0"/>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_Toc14068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lang w:val="en-US" w:eastAsia="zh-CN"/>
            </w:rPr>
            <w:t>10 附则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_Toc14068 \h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_Toc21564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lang w:val="en-US" w:eastAsia="zh-CN"/>
            </w:rPr>
            <w:t>10.1 预案培训与演练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_Toc21564 \h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_Toc17177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lang w:val="en-US" w:eastAsia="zh-CN"/>
            </w:rPr>
            <w:t>10.2 预案解释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_Toc17177 \h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_Toc7250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lang w:val="en-US" w:eastAsia="zh-CN"/>
            </w:rPr>
            <w:t>10.3 预案实施时间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_Toc7250 \h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0"/>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_Toc29035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lang w:val="en-US" w:eastAsia="zh-CN"/>
            </w:rPr>
            <w:t>11 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_Toc29035 \h </w:instrText>
          </w:r>
          <w:r>
            <w:rPr>
              <w:rFonts w:hint="eastAsia" w:ascii="仿宋" w:hAnsi="仿宋" w:eastAsia="仿宋" w:cs="仿宋"/>
              <w:sz w:val="28"/>
              <w:szCs w:val="28"/>
            </w:rPr>
            <w:fldChar w:fldCharType="separate"/>
          </w:r>
          <w:r>
            <w:rPr>
              <w:rFonts w:hint="eastAsia" w:ascii="仿宋" w:hAnsi="仿宋" w:eastAsia="仿宋" w:cs="仿宋"/>
              <w:sz w:val="28"/>
              <w:szCs w:val="28"/>
            </w:rPr>
            <w:t>34</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_Toc6468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lang w:val="en-US" w:eastAsia="zh-CN"/>
            </w:rPr>
            <w:t>附件1 新城区专业和半专业扑火队火险预警响应状态</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_Toc6468 \h </w:instrText>
          </w:r>
          <w:r>
            <w:rPr>
              <w:rFonts w:hint="eastAsia" w:ascii="仿宋" w:hAnsi="仿宋" w:eastAsia="仿宋" w:cs="仿宋"/>
              <w:sz w:val="28"/>
              <w:szCs w:val="28"/>
            </w:rPr>
            <w:fldChar w:fldCharType="separate"/>
          </w:r>
          <w:r>
            <w:rPr>
              <w:rFonts w:hint="eastAsia" w:ascii="仿宋" w:hAnsi="仿宋" w:eastAsia="仿宋" w:cs="仿宋"/>
              <w:sz w:val="28"/>
              <w:szCs w:val="28"/>
            </w:rPr>
            <w:t>34</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_Toc4089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lang w:val="en-US" w:eastAsia="zh-CN"/>
            </w:rPr>
            <w:t>附件2 新城区森林草原防灭火指挥部通讯录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_Toc4089 \h </w:instrText>
          </w:r>
          <w:r>
            <w:rPr>
              <w:rFonts w:hint="eastAsia" w:ascii="仿宋" w:hAnsi="仿宋" w:eastAsia="仿宋" w:cs="仿宋"/>
              <w:sz w:val="28"/>
              <w:szCs w:val="28"/>
            </w:rPr>
            <w:fldChar w:fldCharType="separate"/>
          </w:r>
          <w:r>
            <w:rPr>
              <w:rFonts w:hint="eastAsia" w:ascii="仿宋" w:hAnsi="仿宋" w:eastAsia="仿宋" w:cs="仿宋"/>
              <w:sz w:val="28"/>
              <w:szCs w:val="28"/>
            </w:rPr>
            <w:t>36</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_Toc30217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lang w:val="en-US" w:eastAsia="zh-CN"/>
            </w:rPr>
            <w:t>附件3 新城区森林草原火灾等级和划分标准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_Toc30217 \h </w:instrText>
          </w:r>
          <w:r>
            <w:rPr>
              <w:rFonts w:hint="eastAsia" w:ascii="仿宋" w:hAnsi="仿宋" w:eastAsia="仿宋" w:cs="仿宋"/>
              <w:sz w:val="28"/>
              <w:szCs w:val="28"/>
            </w:rPr>
            <w:fldChar w:fldCharType="separate"/>
          </w:r>
          <w:r>
            <w:rPr>
              <w:rFonts w:hint="eastAsia" w:ascii="仿宋" w:hAnsi="仿宋" w:eastAsia="仿宋" w:cs="仿宋"/>
              <w:sz w:val="28"/>
              <w:szCs w:val="28"/>
            </w:rPr>
            <w:t>38</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_Toc26237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lang w:val="en-US" w:eastAsia="zh-CN"/>
            </w:rPr>
            <w:t>附件4 新城区森林草原火险预警级别及信号颜色</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_Toc26237 \h </w:instrText>
          </w:r>
          <w:r>
            <w:rPr>
              <w:rFonts w:hint="eastAsia" w:ascii="仿宋" w:hAnsi="仿宋" w:eastAsia="仿宋" w:cs="仿宋"/>
              <w:sz w:val="28"/>
              <w:szCs w:val="28"/>
            </w:rPr>
            <w:fldChar w:fldCharType="separate"/>
          </w:r>
          <w:r>
            <w:rPr>
              <w:rFonts w:hint="eastAsia" w:ascii="仿宋" w:hAnsi="仿宋" w:eastAsia="仿宋" w:cs="仿宋"/>
              <w:sz w:val="28"/>
              <w:szCs w:val="28"/>
            </w:rPr>
            <w:t>40</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_Toc27045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lang w:val="en-US" w:eastAsia="zh-CN"/>
            </w:rPr>
            <w:t>附件5 新城区森林草原专业和半专业队伍基本情况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_Toc27045 \h </w:instrText>
          </w:r>
          <w:r>
            <w:rPr>
              <w:rFonts w:hint="eastAsia" w:ascii="仿宋" w:hAnsi="仿宋" w:eastAsia="仿宋" w:cs="仿宋"/>
              <w:sz w:val="28"/>
              <w:szCs w:val="28"/>
            </w:rPr>
            <w:fldChar w:fldCharType="separate"/>
          </w:r>
          <w:r>
            <w:rPr>
              <w:rFonts w:hint="eastAsia" w:ascii="仿宋" w:hAnsi="仿宋" w:eastAsia="仿宋" w:cs="仿宋"/>
              <w:sz w:val="28"/>
              <w:szCs w:val="28"/>
            </w:rPr>
            <w:t>41</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_Toc22973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lang w:val="en-US" w:eastAsia="zh-CN"/>
            </w:rPr>
            <w:t>附件6 新城区森林草原防扑火队伍应急装备清单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_Toc22973 \h </w:instrText>
          </w:r>
          <w:r>
            <w:rPr>
              <w:rFonts w:hint="eastAsia" w:ascii="仿宋" w:hAnsi="仿宋" w:eastAsia="仿宋" w:cs="仿宋"/>
              <w:sz w:val="28"/>
              <w:szCs w:val="28"/>
            </w:rPr>
            <w:fldChar w:fldCharType="separate"/>
          </w:r>
          <w:r>
            <w:rPr>
              <w:rFonts w:hint="eastAsia" w:ascii="仿宋" w:hAnsi="仿宋" w:eastAsia="仿宋" w:cs="仿宋"/>
              <w:sz w:val="28"/>
              <w:szCs w:val="28"/>
            </w:rPr>
            <w:t>42</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_Toc528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lang w:val="en-US" w:eastAsia="zh-CN"/>
            </w:rPr>
            <w:t>附件7 新城区应急避险场所</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_Toc528 \h </w:instrText>
          </w:r>
          <w:r>
            <w:rPr>
              <w:rFonts w:hint="eastAsia" w:ascii="仿宋" w:hAnsi="仿宋" w:eastAsia="仿宋" w:cs="仿宋"/>
              <w:sz w:val="28"/>
              <w:szCs w:val="28"/>
            </w:rPr>
            <w:fldChar w:fldCharType="separate"/>
          </w:r>
          <w:r>
            <w:rPr>
              <w:rFonts w:hint="eastAsia" w:ascii="仿宋" w:hAnsi="仿宋" w:eastAsia="仿宋" w:cs="仿宋"/>
              <w:sz w:val="28"/>
              <w:szCs w:val="28"/>
            </w:rPr>
            <w:t>50</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_Toc22769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lang w:val="en-US" w:eastAsia="zh-CN"/>
            </w:rPr>
            <w:t>附件8 新城区主要救治医院信息表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_Toc22769 \h </w:instrText>
          </w:r>
          <w:r>
            <w:rPr>
              <w:rFonts w:hint="eastAsia" w:ascii="仿宋" w:hAnsi="仿宋" w:eastAsia="仿宋" w:cs="仿宋"/>
              <w:sz w:val="28"/>
              <w:szCs w:val="28"/>
            </w:rPr>
            <w:fldChar w:fldCharType="separate"/>
          </w:r>
          <w:r>
            <w:rPr>
              <w:rFonts w:hint="eastAsia" w:ascii="仿宋" w:hAnsi="仿宋" w:eastAsia="仿宋" w:cs="仿宋"/>
              <w:sz w:val="28"/>
              <w:szCs w:val="28"/>
            </w:rPr>
            <w:t>53</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_Toc22321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lang w:val="en-US" w:eastAsia="zh-CN"/>
            </w:rPr>
            <w:t>附件9 重要目标和重大危险源保护力量的组成及调动方案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_Toc22321 \h </w:instrText>
          </w:r>
          <w:r>
            <w:rPr>
              <w:rFonts w:hint="eastAsia" w:ascii="仿宋" w:hAnsi="仿宋" w:eastAsia="仿宋" w:cs="仿宋"/>
              <w:sz w:val="28"/>
              <w:szCs w:val="28"/>
            </w:rPr>
            <w:fldChar w:fldCharType="separate"/>
          </w:r>
          <w:r>
            <w:rPr>
              <w:rFonts w:hint="eastAsia" w:ascii="仿宋" w:hAnsi="仿宋" w:eastAsia="仿宋" w:cs="仿宋"/>
              <w:sz w:val="28"/>
              <w:szCs w:val="28"/>
            </w:rPr>
            <w:t>54</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_Toc15480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lang w:val="en-US" w:eastAsia="zh-CN"/>
            </w:rPr>
            <w:t>附件10 森林草原防灭火气象服务和人工增雨作业方案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_Toc15480 \h </w:instrText>
          </w:r>
          <w:r>
            <w:rPr>
              <w:rFonts w:hint="eastAsia" w:ascii="仿宋" w:hAnsi="仿宋" w:eastAsia="仿宋" w:cs="仿宋"/>
              <w:sz w:val="28"/>
              <w:szCs w:val="28"/>
            </w:rPr>
            <w:fldChar w:fldCharType="separate"/>
          </w:r>
          <w:r>
            <w:rPr>
              <w:rFonts w:hint="eastAsia" w:ascii="仿宋" w:hAnsi="仿宋" w:eastAsia="仿宋" w:cs="仿宋"/>
              <w:sz w:val="28"/>
              <w:szCs w:val="28"/>
            </w:rPr>
            <w:t>56</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_Toc29305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lang w:val="en-US" w:eastAsia="zh-CN"/>
            </w:rPr>
            <w:t>附件11 新城区森林草原防火区域图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_Toc29305 \h </w:instrText>
          </w:r>
          <w:r>
            <w:rPr>
              <w:rFonts w:hint="eastAsia" w:ascii="仿宋" w:hAnsi="仿宋" w:eastAsia="仿宋" w:cs="仿宋"/>
              <w:sz w:val="28"/>
              <w:szCs w:val="28"/>
            </w:rPr>
            <w:fldChar w:fldCharType="separate"/>
          </w:r>
          <w:r>
            <w:rPr>
              <w:rFonts w:hint="eastAsia" w:ascii="仿宋" w:hAnsi="仿宋" w:eastAsia="仿宋" w:cs="仿宋"/>
              <w:sz w:val="28"/>
              <w:szCs w:val="28"/>
            </w:rPr>
            <w:t>57</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1"/>
            <w:tabs>
              <w:tab w:val="right" w:leader="dot" w:pos="8306"/>
            </w:tabs>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_Toc19749 </w:instrText>
          </w:r>
          <w:r>
            <w:rPr>
              <w:rFonts w:hint="eastAsia" w:ascii="仿宋" w:hAnsi="仿宋" w:eastAsia="仿宋" w:cs="仿宋"/>
              <w:sz w:val="28"/>
              <w:szCs w:val="28"/>
            </w:rPr>
            <w:fldChar w:fldCharType="separate"/>
          </w:r>
          <w:r>
            <w:rPr>
              <w:rFonts w:hint="eastAsia" w:ascii="仿宋" w:hAnsi="仿宋" w:eastAsia="仿宋" w:cs="仿宋"/>
              <w:bCs/>
              <w:kern w:val="44"/>
              <w:sz w:val="28"/>
              <w:szCs w:val="28"/>
              <w:lang w:val="en-US" w:eastAsia="zh-CN"/>
            </w:rPr>
            <w:t>附件12 预案专家评审意见</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_Toc19749 \h </w:instrText>
          </w:r>
          <w:r>
            <w:rPr>
              <w:rFonts w:hint="eastAsia" w:ascii="仿宋" w:hAnsi="仿宋" w:eastAsia="仿宋" w:cs="仿宋"/>
              <w:sz w:val="28"/>
              <w:szCs w:val="28"/>
            </w:rPr>
            <w:fldChar w:fldCharType="separate"/>
          </w:r>
          <w:r>
            <w:rPr>
              <w:rFonts w:hint="eastAsia" w:ascii="仿宋" w:hAnsi="仿宋" w:eastAsia="仿宋" w:cs="仿宋"/>
              <w:sz w:val="28"/>
              <w:szCs w:val="28"/>
            </w:rPr>
            <w:t>58</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0"/>
            <w:pageBreakBefore w:val="0"/>
            <w:widowControl w:val="0"/>
            <w:tabs>
              <w:tab w:val="right" w:leader="dot" w:pos="8306"/>
            </w:tabs>
            <w:kinsoku/>
            <w:wordWrap/>
            <w:overflowPunct/>
            <w:topLinePunct w:val="0"/>
            <w:autoSpaceDE/>
            <w:autoSpaceDN/>
            <w:bidi w:val="0"/>
            <w:spacing w:line="360" w:lineRule="auto"/>
            <w:ind w:firstLine="420" w:firstLineChars="200"/>
            <w:jc w:val="center"/>
            <w:textAlignment w:val="auto"/>
            <w:rPr>
              <w:color w:val="auto"/>
            </w:rPr>
            <w:sectPr>
              <w:footerReference r:id="rId3" w:type="firs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color w:val="auto"/>
            </w:rPr>
            <w:fldChar w:fldCharType="end"/>
          </w:r>
        </w:p>
      </w:sdtContent>
    </w:sdt>
    <w:p>
      <w:pPr>
        <w:pStyle w:val="3"/>
        <w:keepNext/>
        <w:keepLines/>
        <w:pageBreakBefore w:val="0"/>
        <w:widowControl w:val="0"/>
        <w:kinsoku/>
        <w:wordWrap/>
        <w:overflowPunct/>
        <w:topLinePunct w:val="0"/>
        <w:autoSpaceDE/>
        <w:autoSpaceDN/>
        <w:bidi w:val="0"/>
        <w:adjustRightInd w:val="0"/>
        <w:snapToGrid w:val="0"/>
        <w:spacing w:before="20" w:after="10" w:line="360" w:lineRule="auto"/>
        <w:ind w:firstLine="640" w:firstLineChars="200"/>
        <w:textAlignment w:val="auto"/>
        <w:outlineLvl w:val="0"/>
        <w:rPr>
          <w:rFonts w:hint="default" w:eastAsia="黑体"/>
          <w:color w:val="auto"/>
          <w:lang w:val="en-US" w:eastAsia="zh-CN"/>
        </w:rPr>
      </w:pPr>
      <w:bookmarkStart w:id="9" w:name="_Toc25336"/>
      <w:r>
        <w:rPr>
          <w:rFonts w:hint="eastAsia"/>
          <w:color w:val="auto"/>
          <w:lang w:val="en-US" w:eastAsia="zh-CN"/>
        </w:rPr>
        <w:t>1 总则</w:t>
      </w:r>
      <w:bookmarkEnd w:id="9"/>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outlineLvl w:val="1"/>
        <w:rPr>
          <w:rFonts w:ascii="黑体" w:eastAsia="黑体"/>
          <w:bCs/>
          <w:color w:val="auto"/>
          <w:kern w:val="44"/>
          <w:sz w:val="32"/>
          <w:szCs w:val="44"/>
        </w:rPr>
      </w:pPr>
      <w:bookmarkStart w:id="10" w:name="_Toc24011"/>
      <w:bookmarkStart w:id="11" w:name="_Toc18715"/>
      <w:bookmarkStart w:id="12" w:name="_Toc28582"/>
      <w:r>
        <w:rPr>
          <w:rFonts w:hint="eastAsia" w:ascii="黑体" w:eastAsia="黑体"/>
          <w:bCs/>
          <w:color w:val="auto"/>
          <w:kern w:val="44"/>
          <w:sz w:val="32"/>
          <w:szCs w:val="44"/>
        </w:rPr>
        <w:t>1.1 编制目的</w:t>
      </w:r>
      <w:bookmarkEnd w:id="10"/>
      <w:bookmarkEnd w:id="11"/>
      <w:bookmarkEnd w:id="12"/>
    </w:p>
    <w:p>
      <w:pPr>
        <w:pageBreakBefore w:val="0"/>
        <w:widowControl w:val="0"/>
        <w:kinsoku/>
        <w:wordWrap/>
        <w:overflowPunct/>
        <w:topLinePunct w:val="0"/>
        <w:autoSpaceDE/>
        <w:autoSpaceDN/>
        <w:bidi w:val="0"/>
        <w:spacing w:line="360" w:lineRule="auto"/>
        <w:ind w:firstLine="640" w:firstLineChars="200"/>
        <w:jc w:val="left"/>
        <w:textAlignment w:val="auto"/>
        <w:rPr>
          <w:rFonts w:eastAsia="仿宋_GB2312"/>
          <w:color w:val="auto"/>
          <w:sz w:val="32"/>
          <w:szCs w:val="22"/>
        </w:rPr>
      </w:pPr>
      <w:r>
        <w:rPr>
          <w:rFonts w:hint="eastAsia" w:eastAsia="仿宋_GB2312"/>
          <w:color w:val="auto"/>
          <w:sz w:val="32"/>
          <w:szCs w:val="22"/>
        </w:rPr>
        <w:t>为建立健全森林草原火灾处置应急工作机制，依法有力有序有效地实施森林草原火灾处置，最大程度减少森林草原火灾及其造成的人员伤亡和财产损失，保护森林草原资源，维护生态安全，结合我区实际，特制定本预案。</w:t>
      </w:r>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outlineLvl w:val="1"/>
        <w:rPr>
          <w:rFonts w:hint="eastAsia" w:ascii="黑体" w:eastAsia="黑体"/>
          <w:bCs/>
          <w:color w:val="auto"/>
          <w:kern w:val="44"/>
          <w:sz w:val="32"/>
          <w:szCs w:val="44"/>
        </w:rPr>
      </w:pPr>
      <w:bookmarkStart w:id="13" w:name="_Toc23052"/>
      <w:bookmarkStart w:id="14" w:name="_Toc21927"/>
      <w:bookmarkStart w:id="15" w:name="_Toc21290"/>
      <w:r>
        <w:rPr>
          <w:rFonts w:hint="eastAsia" w:ascii="黑体" w:eastAsia="黑体"/>
          <w:bCs/>
          <w:color w:val="auto"/>
          <w:kern w:val="44"/>
          <w:sz w:val="32"/>
          <w:szCs w:val="44"/>
        </w:rPr>
        <w:t>1.2 编制依据</w:t>
      </w:r>
      <w:bookmarkEnd w:id="13"/>
      <w:bookmarkEnd w:id="14"/>
      <w:bookmarkEnd w:id="15"/>
    </w:p>
    <w:p>
      <w:pPr>
        <w:pageBreakBefore w:val="0"/>
        <w:widowControl w:val="0"/>
        <w:kinsoku/>
        <w:wordWrap/>
        <w:overflowPunct/>
        <w:topLinePunct w:val="0"/>
        <w:autoSpaceDE/>
        <w:autoSpaceDN/>
        <w:bidi w:val="0"/>
        <w:spacing w:line="360" w:lineRule="auto"/>
        <w:ind w:firstLine="640" w:firstLineChars="200"/>
        <w:jc w:val="left"/>
        <w:textAlignment w:val="auto"/>
        <w:rPr>
          <w:rFonts w:hint="eastAsia" w:eastAsia="仿宋_GB2312"/>
          <w:color w:val="auto"/>
          <w:sz w:val="32"/>
          <w:szCs w:val="22"/>
          <w:lang w:eastAsia="zh-CN"/>
        </w:rPr>
      </w:pPr>
      <w:r>
        <w:rPr>
          <w:rFonts w:hint="eastAsia" w:eastAsia="仿宋_GB2312"/>
          <w:color w:val="auto"/>
          <w:sz w:val="32"/>
          <w:szCs w:val="22"/>
        </w:rPr>
        <w:t>根据《中华人民共和国森林法》《中华人民共和国草原法》《中华人民共和国突发事件应对法》《森林防火条例》《草原防火条例》《国家突发公共事件总体应急预案》《国家森林火灾应急预案》《全国草原火灾应急预案》《内蒙古自治区森林草原防火条例》《内蒙古自治区突发公共事件总体应急预案》《内蒙古自治区森林草原防灭火指挥部森林草原火灾处置应急预案</w:t>
      </w:r>
      <w:r>
        <w:rPr>
          <w:rFonts w:hint="eastAsia" w:eastAsia="仿宋_GB2312"/>
          <w:color w:val="auto"/>
          <w:sz w:val="32"/>
          <w:szCs w:val="22"/>
          <w:lang w:eastAsia="zh-CN"/>
        </w:rPr>
        <w:t>（</w:t>
      </w:r>
      <w:r>
        <w:rPr>
          <w:rFonts w:hint="eastAsia" w:eastAsia="仿宋_GB2312"/>
          <w:color w:val="auto"/>
          <w:sz w:val="32"/>
          <w:szCs w:val="22"/>
        </w:rPr>
        <w:t>暂行</w:t>
      </w:r>
      <w:r>
        <w:rPr>
          <w:rFonts w:hint="eastAsia" w:eastAsia="仿宋_GB2312"/>
          <w:color w:val="auto"/>
          <w:sz w:val="32"/>
          <w:szCs w:val="22"/>
          <w:lang w:eastAsia="zh-CN"/>
        </w:rPr>
        <w:t>）</w:t>
      </w:r>
      <w:r>
        <w:rPr>
          <w:rFonts w:hint="eastAsia" w:eastAsia="仿宋_GB2312"/>
          <w:color w:val="auto"/>
          <w:sz w:val="32"/>
          <w:szCs w:val="22"/>
        </w:rPr>
        <w:t>》《呼和浩特市森林草原防灭火指挥部火灾处置应急预案</w:t>
      </w:r>
      <w:r>
        <w:rPr>
          <w:rFonts w:hint="eastAsia" w:eastAsia="仿宋_GB2312"/>
          <w:color w:val="auto"/>
          <w:sz w:val="32"/>
          <w:szCs w:val="22"/>
          <w:lang w:eastAsia="zh-CN"/>
        </w:rPr>
        <w:t>（</w:t>
      </w:r>
      <w:r>
        <w:rPr>
          <w:rFonts w:hint="eastAsia" w:eastAsia="仿宋_GB2312"/>
          <w:color w:val="auto"/>
          <w:sz w:val="32"/>
          <w:szCs w:val="22"/>
        </w:rPr>
        <w:t>暂行</w:t>
      </w:r>
      <w:r>
        <w:rPr>
          <w:rFonts w:hint="eastAsia" w:eastAsia="仿宋_GB2312"/>
          <w:color w:val="auto"/>
          <w:sz w:val="32"/>
          <w:szCs w:val="22"/>
          <w:lang w:eastAsia="zh-CN"/>
        </w:rPr>
        <w:t>）</w:t>
      </w:r>
      <w:r>
        <w:rPr>
          <w:rFonts w:hint="eastAsia" w:eastAsia="仿宋_GB2312"/>
          <w:color w:val="auto"/>
          <w:sz w:val="32"/>
          <w:szCs w:val="22"/>
        </w:rPr>
        <w:t>》</w:t>
      </w:r>
      <w:r>
        <w:rPr>
          <w:rFonts w:hint="eastAsia" w:ascii="仿宋_GB2312" w:hAnsi="仿宋_GB2312" w:eastAsia="仿宋_GB2312" w:cs="仿宋_GB2312"/>
          <w:bCs/>
          <w:color w:val="auto"/>
          <w:sz w:val="32"/>
          <w:szCs w:val="32"/>
        </w:rPr>
        <w:t>《新城区突发事件总体应急预案》</w:t>
      </w:r>
      <w:r>
        <w:rPr>
          <w:rFonts w:hint="eastAsia" w:eastAsia="仿宋_GB2312"/>
          <w:color w:val="auto"/>
          <w:sz w:val="32"/>
          <w:szCs w:val="22"/>
        </w:rPr>
        <w:t>及有关法律法规、文件进行编制</w:t>
      </w:r>
      <w:r>
        <w:rPr>
          <w:rFonts w:hint="eastAsia" w:eastAsia="仿宋_GB2312"/>
          <w:color w:val="auto"/>
          <w:sz w:val="32"/>
          <w:szCs w:val="22"/>
          <w:lang w:eastAsia="zh-CN"/>
        </w:rPr>
        <w:t>。</w:t>
      </w:r>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outlineLvl w:val="1"/>
        <w:rPr>
          <w:rFonts w:hint="eastAsia" w:ascii="黑体" w:eastAsia="黑体"/>
          <w:bCs/>
          <w:color w:val="auto"/>
          <w:kern w:val="44"/>
          <w:sz w:val="32"/>
          <w:szCs w:val="44"/>
        </w:rPr>
      </w:pPr>
      <w:bookmarkStart w:id="16" w:name="_Toc11447"/>
      <w:bookmarkStart w:id="17" w:name="_Toc14006"/>
      <w:bookmarkStart w:id="18" w:name="_Toc10669"/>
      <w:r>
        <w:rPr>
          <w:rFonts w:hint="eastAsia" w:ascii="黑体" w:eastAsia="黑体"/>
          <w:bCs/>
          <w:color w:val="auto"/>
          <w:kern w:val="44"/>
          <w:sz w:val="32"/>
          <w:szCs w:val="44"/>
        </w:rPr>
        <w:t>1.3 适用范围</w:t>
      </w:r>
      <w:bookmarkEnd w:id="16"/>
      <w:bookmarkEnd w:id="17"/>
      <w:bookmarkEnd w:id="18"/>
    </w:p>
    <w:p>
      <w:pPr>
        <w:pStyle w:val="12"/>
        <w:pageBreakBefore w:val="0"/>
        <w:widowControl w:val="0"/>
        <w:kinsoku/>
        <w:wordWrap/>
        <w:overflowPunct/>
        <w:topLinePunct w:val="0"/>
        <w:autoSpaceDE/>
        <w:autoSpaceDN/>
        <w:bidi w:val="0"/>
        <w:spacing w:beforeAutospacing="0" w:afterAutospacing="0" w:line="360" w:lineRule="auto"/>
        <w:ind w:firstLine="640" w:firstLineChars="200"/>
        <w:textAlignment w:val="auto"/>
        <w:rPr>
          <w:rFonts w:eastAsia="仿宋_GB2312" w:cstheme="minorBidi"/>
          <w:color w:val="auto"/>
          <w:kern w:val="2"/>
          <w:sz w:val="32"/>
          <w:szCs w:val="22"/>
        </w:rPr>
      </w:pPr>
      <w:r>
        <w:rPr>
          <w:rFonts w:hint="eastAsia" w:eastAsia="仿宋_GB2312" w:cstheme="minorBidi"/>
          <w:color w:val="auto"/>
          <w:kern w:val="2"/>
          <w:sz w:val="32"/>
          <w:szCs w:val="22"/>
        </w:rPr>
        <w:t>本预案适用于处置</w:t>
      </w:r>
      <w:r>
        <w:rPr>
          <w:rFonts w:hint="eastAsia" w:eastAsia="仿宋_GB2312" w:cstheme="minorBidi"/>
          <w:color w:val="auto"/>
          <w:kern w:val="2"/>
          <w:sz w:val="32"/>
          <w:szCs w:val="22"/>
          <w:lang w:val="en-US" w:eastAsia="zh-CN"/>
        </w:rPr>
        <w:t>发生在新城区行政管辖内的森林草原火灾，</w:t>
      </w:r>
      <w:r>
        <w:rPr>
          <w:rFonts w:hint="eastAsia" w:eastAsia="仿宋_GB2312" w:cstheme="minorBidi"/>
          <w:color w:val="auto"/>
          <w:kern w:val="2"/>
          <w:sz w:val="32"/>
          <w:szCs w:val="22"/>
        </w:rPr>
        <w:t>以及威胁本区的行政边界外发生的森林草原火灾。</w:t>
      </w:r>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outlineLvl w:val="1"/>
        <w:rPr>
          <w:rFonts w:hint="eastAsia" w:ascii="黑体" w:eastAsia="黑体"/>
          <w:bCs/>
          <w:color w:val="auto"/>
          <w:kern w:val="44"/>
          <w:sz w:val="32"/>
          <w:szCs w:val="44"/>
        </w:rPr>
      </w:pPr>
      <w:bookmarkStart w:id="19" w:name="_Toc4109"/>
      <w:bookmarkStart w:id="20" w:name="_Toc17597"/>
      <w:bookmarkStart w:id="21" w:name="_Toc14883"/>
      <w:r>
        <w:rPr>
          <w:rFonts w:hint="eastAsia" w:ascii="黑体" w:eastAsia="黑体"/>
          <w:bCs/>
          <w:color w:val="auto"/>
          <w:kern w:val="44"/>
          <w:sz w:val="32"/>
          <w:szCs w:val="44"/>
        </w:rPr>
        <w:t>1.4 指导思想</w:t>
      </w:r>
      <w:bookmarkEnd w:id="19"/>
      <w:bookmarkEnd w:id="20"/>
      <w:bookmarkEnd w:id="21"/>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eastAsia="仿宋_GB2312" w:cstheme="minorBidi"/>
          <w:color w:val="auto"/>
          <w:kern w:val="2"/>
          <w:sz w:val="32"/>
          <w:szCs w:val="22"/>
        </w:rPr>
      </w:pPr>
      <w:r>
        <w:rPr>
          <w:rFonts w:hint="eastAsia" w:eastAsia="仿宋_GB2312" w:cstheme="minorBidi"/>
          <w:color w:val="auto"/>
          <w:kern w:val="2"/>
          <w:sz w:val="32"/>
          <w:szCs w:val="22"/>
        </w:rPr>
        <w:t>以习近平新时代中国特色社会主义思想为指导，深入贯彻落实党的十九大精神和习近平总书记关于生态文明建设的重大战略思想和重要指示精神，按照区</w:t>
      </w:r>
      <w:r>
        <w:rPr>
          <w:rFonts w:hint="eastAsia" w:eastAsia="仿宋_GB2312" w:cstheme="minorBidi"/>
          <w:color w:val="auto"/>
          <w:kern w:val="2"/>
          <w:sz w:val="32"/>
          <w:szCs w:val="22"/>
          <w:lang w:val="en-US" w:eastAsia="zh-CN"/>
        </w:rPr>
        <w:t>委</w:t>
      </w:r>
      <w:r>
        <w:rPr>
          <w:rFonts w:hint="eastAsia" w:eastAsia="仿宋_GB2312" w:cstheme="minorBidi"/>
          <w:color w:val="auto"/>
          <w:kern w:val="2"/>
          <w:sz w:val="32"/>
          <w:szCs w:val="22"/>
        </w:rPr>
        <w:t>、</w:t>
      </w:r>
      <w:r>
        <w:rPr>
          <w:rFonts w:hint="eastAsia" w:eastAsia="仿宋_GB2312" w:cstheme="minorBidi"/>
          <w:color w:val="auto"/>
          <w:kern w:val="2"/>
          <w:sz w:val="32"/>
          <w:szCs w:val="22"/>
          <w:lang w:val="en-US" w:eastAsia="zh-CN"/>
        </w:rPr>
        <w:t>区</w:t>
      </w:r>
      <w:r>
        <w:rPr>
          <w:rFonts w:hint="eastAsia" w:eastAsia="仿宋_GB2312" w:cstheme="minorBidi"/>
          <w:color w:val="auto"/>
          <w:kern w:val="2"/>
          <w:sz w:val="32"/>
          <w:szCs w:val="22"/>
        </w:rPr>
        <w:t>政府的安排部署，坚持“预防为主、防灭结合”的森林草原防灭火方针，加强防范化解重大火灾风险，全面落实预防措施，充分做好扑火各项准备，一旦发生火灾，各相关部门密切配合，通力合作，做到反应迅速、组织有序、以人为本、科学扑救，确保“打早、打小、打了”，杜绝人员伤亡事故发生，最大限度地减少火灾损失。</w:t>
      </w:r>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outlineLvl w:val="1"/>
        <w:rPr>
          <w:rFonts w:hint="eastAsia" w:ascii="黑体" w:eastAsia="黑体"/>
          <w:bCs/>
          <w:color w:val="auto"/>
          <w:kern w:val="44"/>
          <w:sz w:val="32"/>
          <w:szCs w:val="44"/>
        </w:rPr>
      </w:pPr>
      <w:bookmarkStart w:id="22" w:name="_Toc19269"/>
      <w:bookmarkStart w:id="23" w:name="_Toc13985"/>
      <w:bookmarkStart w:id="24" w:name="_Toc15290"/>
      <w:r>
        <w:rPr>
          <w:rFonts w:hint="eastAsia" w:ascii="黑体" w:eastAsia="黑体"/>
          <w:bCs/>
          <w:color w:val="auto"/>
          <w:kern w:val="44"/>
          <w:sz w:val="32"/>
          <w:szCs w:val="44"/>
        </w:rPr>
        <w:t>1.5 工作原则</w:t>
      </w:r>
      <w:bookmarkEnd w:id="22"/>
      <w:bookmarkEnd w:id="23"/>
      <w:bookmarkEnd w:id="24"/>
    </w:p>
    <w:p>
      <w:pPr>
        <w:pStyle w:val="12"/>
        <w:pageBreakBefore w:val="0"/>
        <w:widowControl w:val="0"/>
        <w:kinsoku/>
        <w:wordWrap/>
        <w:overflowPunct/>
        <w:topLinePunct w:val="0"/>
        <w:autoSpaceDE/>
        <w:autoSpaceDN/>
        <w:bidi w:val="0"/>
        <w:spacing w:beforeAutospacing="0" w:afterAutospacing="0" w:line="360" w:lineRule="auto"/>
        <w:ind w:firstLine="640" w:firstLineChars="200"/>
        <w:textAlignment w:val="auto"/>
        <w:rPr>
          <w:rFonts w:eastAsia="仿宋_GB2312" w:cstheme="minorBidi"/>
          <w:color w:val="auto"/>
          <w:kern w:val="2"/>
          <w:sz w:val="32"/>
          <w:szCs w:val="22"/>
        </w:rPr>
      </w:pPr>
      <w:r>
        <w:rPr>
          <w:rFonts w:hint="eastAsia" w:eastAsia="仿宋_GB2312" w:cstheme="minorBidi"/>
          <w:color w:val="auto"/>
          <w:kern w:val="2"/>
          <w:sz w:val="32"/>
          <w:szCs w:val="22"/>
        </w:rPr>
        <w:t>在区委、区政府的领导下，区森林草原防灭火指挥部负责编制和协调组织实施本预案。区级应急预案重点规范本级层面应对行动，同时体现应急处置的主体功能；</w:t>
      </w:r>
      <w:r>
        <w:rPr>
          <w:rFonts w:hint="eastAsia" w:eastAsia="仿宋_GB2312" w:cstheme="minorBidi"/>
          <w:color w:val="auto"/>
          <w:kern w:val="2"/>
          <w:sz w:val="32"/>
          <w:szCs w:val="22"/>
          <w:lang w:val="en-US" w:eastAsia="zh-CN"/>
        </w:rPr>
        <w:t>林业和草原分局、</w:t>
      </w:r>
      <w:r>
        <w:rPr>
          <w:rFonts w:hint="eastAsia" w:eastAsia="仿宋_GB2312" w:cstheme="minorBidi"/>
          <w:color w:val="auto"/>
          <w:kern w:val="2"/>
          <w:sz w:val="32"/>
          <w:szCs w:val="22"/>
        </w:rPr>
        <w:t>保和少镇、成吉思汗大街街道办事处、古路板</w:t>
      </w:r>
      <w:r>
        <w:rPr>
          <w:rFonts w:hint="eastAsia" w:eastAsia="仿宋_GB2312" w:cstheme="minorBidi"/>
          <w:color w:val="auto"/>
          <w:kern w:val="2"/>
          <w:sz w:val="32"/>
          <w:szCs w:val="22"/>
          <w:lang w:val="en-US" w:eastAsia="zh-CN"/>
        </w:rPr>
        <w:t>管理站</w:t>
      </w:r>
      <w:r>
        <w:rPr>
          <w:rFonts w:hint="eastAsia" w:eastAsia="仿宋_GB2312" w:cstheme="minorBidi"/>
          <w:color w:val="auto"/>
          <w:kern w:val="2"/>
          <w:sz w:val="32"/>
          <w:szCs w:val="22"/>
        </w:rPr>
        <w:t>、其他森林草原管理单位的应急预案，重点体现先期处置。各地区、各单位在处置森林草原火灾工作时，应遵循</w:t>
      </w:r>
      <w:r>
        <w:rPr>
          <w:rFonts w:hint="eastAsia" w:eastAsia="仿宋_GB2312" w:cstheme="minorBidi"/>
          <w:color w:val="auto"/>
          <w:kern w:val="2"/>
          <w:sz w:val="32"/>
          <w:szCs w:val="22"/>
          <w:lang w:val="en-US" w:eastAsia="zh-CN"/>
        </w:rPr>
        <w:t>以下</w:t>
      </w:r>
      <w:r>
        <w:rPr>
          <w:rFonts w:hint="eastAsia" w:eastAsia="仿宋_GB2312" w:cstheme="minorBidi"/>
          <w:color w:val="auto"/>
          <w:kern w:val="2"/>
          <w:sz w:val="32"/>
          <w:szCs w:val="22"/>
        </w:rPr>
        <w:t>原则：</w:t>
      </w:r>
    </w:p>
    <w:p>
      <w:pPr>
        <w:pStyle w:val="12"/>
        <w:keepNext w:val="0"/>
        <w:keepLines w:val="0"/>
        <w:pageBreakBefore w:val="0"/>
        <w:widowControl w:val="0"/>
        <w:kinsoku/>
        <w:wordWrap/>
        <w:overflowPunct/>
        <w:topLinePunct w:val="0"/>
        <w:autoSpaceDE/>
        <w:autoSpaceDN/>
        <w:bidi w:val="0"/>
        <w:spacing w:beforeAutospacing="0" w:afterAutospacing="0" w:line="360" w:lineRule="auto"/>
        <w:ind w:firstLine="640" w:firstLineChars="200"/>
        <w:jc w:val="both"/>
        <w:textAlignment w:val="auto"/>
        <w:rPr>
          <w:rFonts w:hint="eastAsia" w:ascii="仿宋_GB2312" w:hAnsi="仿宋_GB2312" w:eastAsia="仿宋_GB2312" w:cs="仿宋_GB2312"/>
          <w:color w:val="auto"/>
          <w:kern w:val="2"/>
          <w:sz w:val="32"/>
          <w:szCs w:val="22"/>
        </w:rPr>
      </w:pPr>
      <w:r>
        <w:rPr>
          <w:rFonts w:hint="eastAsia" w:ascii="仿宋_GB2312" w:hAnsi="仿宋_GB2312" w:eastAsia="仿宋_GB2312" w:cs="仿宋_GB2312"/>
          <w:color w:val="auto"/>
          <w:kern w:val="2"/>
          <w:sz w:val="32"/>
          <w:szCs w:val="22"/>
        </w:rPr>
        <w:t>1.5.1 以人为本、科学扑救</w:t>
      </w:r>
    </w:p>
    <w:p>
      <w:pPr>
        <w:pStyle w:val="12"/>
        <w:keepNext w:val="0"/>
        <w:keepLines w:val="0"/>
        <w:pageBreakBefore w:val="0"/>
        <w:widowControl w:val="0"/>
        <w:kinsoku/>
        <w:wordWrap/>
        <w:overflowPunct/>
        <w:topLinePunct w:val="0"/>
        <w:autoSpaceDE/>
        <w:autoSpaceDN/>
        <w:bidi w:val="0"/>
        <w:spacing w:beforeAutospacing="0" w:afterAutospacing="0" w:line="360" w:lineRule="auto"/>
        <w:ind w:firstLine="640" w:firstLineChars="200"/>
        <w:jc w:val="both"/>
        <w:textAlignment w:val="auto"/>
        <w:rPr>
          <w:rFonts w:ascii="宋体" w:hAnsi="宋体" w:eastAsia="仿宋_GB2312"/>
          <w:color w:val="auto"/>
          <w:sz w:val="32"/>
          <w:szCs w:val="32"/>
        </w:rPr>
      </w:pPr>
      <w:r>
        <w:rPr>
          <w:rFonts w:hint="eastAsia" w:eastAsia="仿宋_GB2312" w:cstheme="minorBidi"/>
          <w:color w:val="auto"/>
          <w:kern w:val="2"/>
          <w:sz w:val="32"/>
          <w:szCs w:val="22"/>
        </w:rPr>
        <w:t>最大限度减少森林草原火灾造成的人员伤亡和财产损失，保障扑救人员生命安全。</w:t>
      </w:r>
      <w:r>
        <w:rPr>
          <w:rFonts w:hint="eastAsia" w:ascii="宋体" w:hAnsi="宋体" w:eastAsia="仿宋_GB2312"/>
          <w:color w:val="auto"/>
          <w:sz w:val="32"/>
          <w:szCs w:val="32"/>
        </w:rPr>
        <w:t>不得动员未经专业训练以及残疾人、孕妇和未成年人等其他不适宜参加森林火灾扑救的人员参加扑救工作。</w:t>
      </w:r>
    </w:p>
    <w:p>
      <w:pPr>
        <w:pStyle w:val="12"/>
        <w:keepNext w:val="0"/>
        <w:keepLines w:val="0"/>
        <w:pageBreakBefore w:val="0"/>
        <w:widowControl w:val="0"/>
        <w:kinsoku/>
        <w:wordWrap/>
        <w:overflowPunct/>
        <w:topLinePunct w:val="0"/>
        <w:autoSpaceDE/>
        <w:autoSpaceDN/>
        <w:bidi w:val="0"/>
        <w:spacing w:beforeAutospacing="0" w:afterAutospacing="0" w:line="360" w:lineRule="auto"/>
        <w:ind w:firstLine="640" w:firstLineChars="200"/>
        <w:jc w:val="both"/>
        <w:textAlignment w:val="auto"/>
        <w:rPr>
          <w:rFonts w:hint="eastAsia" w:ascii="仿宋_GB2312" w:hAnsi="仿宋_GB2312" w:eastAsia="仿宋_GB2312" w:cs="仿宋_GB2312"/>
          <w:color w:val="auto"/>
          <w:kern w:val="2"/>
          <w:sz w:val="32"/>
          <w:szCs w:val="22"/>
        </w:rPr>
      </w:pPr>
      <w:r>
        <w:rPr>
          <w:rFonts w:hint="eastAsia" w:ascii="仿宋_GB2312" w:hAnsi="仿宋_GB2312" w:eastAsia="仿宋_GB2312" w:cs="仿宋_GB2312"/>
          <w:color w:val="auto"/>
          <w:kern w:val="2"/>
          <w:sz w:val="32"/>
          <w:szCs w:val="22"/>
        </w:rPr>
        <w:t>1.5.2</w:t>
      </w:r>
      <w:r>
        <w:rPr>
          <w:rFonts w:hint="eastAsia" w:ascii="仿宋_GB2312" w:hAnsi="仿宋_GB2312" w:eastAsia="仿宋_GB2312" w:cs="仿宋_GB2312"/>
          <w:color w:val="auto"/>
          <w:kern w:val="2"/>
          <w:sz w:val="32"/>
          <w:szCs w:val="22"/>
          <w:lang w:val="en-US" w:eastAsia="zh-CN"/>
        </w:rPr>
        <w:t xml:space="preserve"> </w:t>
      </w:r>
      <w:r>
        <w:rPr>
          <w:rFonts w:hint="eastAsia" w:ascii="仿宋_GB2312" w:hAnsi="仿宋_GB2312" w:eastAsia="仿宋_GB2312" w:cs="仿宋_GB2312"/>
          <w:color w:val="auto"/>
          <w:kern w:val="2"/>
          <w:sz w:val="32"/>
          <w:szCs w:val="22"/>
        </w:rPr>
        <w:t>属地管理，先期处置</w:t>
      </w:r>
    </w:p>
    <w:p>
      <w:pPr>
        <w:pStyle w:val="12"/>
        <w:pageBreakBefore w:val="0"/>
        <w:widowControl w:val="0"/>
        <w:kinsoku/>
        <w:wordWrap/>
        <w:overflowPunct/>
        <w:topLinePunct w:val="0"/>
        <w:autoSpaceDE/>
        <w:autoSpaceDN/>
        <w:bidi w:val="0"/>
        <w:spacing w:beforeAutospacing="0" w:afterAutospacing="0" w:line="360" w:lineRule="auto"/>
        <w:ind w:firstLine="640" w:firstLineChars="200"/>
        <w:textAlignment w:val="auto"/>
        <w:rPr>
          <w:rFonts w:ascii="宋体" w:hAnsi="宋体" w:eastAsia="仿宋_GB2312"/>
          <w:color w:val="auto"/>
          <w:sz w:val="32"/>
          <w:szCs w:val="32"/>
        </w:rPr>
      </w:pPr>
      <w:r>
        <w:rPr>
          <w:rFonts w:hint="eastAsia" w:ascii="宋体" w:hAnsi="宋体" w:eastAsia="仿宋_GB2312"/>
          <w:color w:val="auto"/>
          <w:sz w:val="32"/>
          <w:szCs w:val="32"/>
        </w:rPr>
        <w:t>按照行政区域管辖范围，发生森林草原火灾，由发生地保合少镇、</w:t>
      </w:r>
      <w:r>
        <w:rPr>
          <w:rFonts w:hint="eastAsia" w:ascii="宋体" w:hAnsi="宋体" w:eastAsia="仿宋_GB2312"/>
          <w:color w:val="auto"/>
          <w:sz w:val="32"/>
          <w:szCs w:val="32"/>
          <w:lang w:val="en-US" w:eastAsia="zh-CN"/>
        </w:rPr>
        <w:t>成吉思汗街道办事处</w:t>
      </w:r>
      <w:r>
        <w:rPr>
          <w:rFonts w:hint="eastAsia" w:ascii="宋体" w:hAnsi="宋体" w:eastAsia="仿宋_GB2312"/>
          <w:color w:val="auto"/>
          <w:sz w:val="32"/>
          <w:szCs w:val="32"/>
        </w:rPr>
        <w:t>、</w:t>
      </w:r>
      <w:r>
        <w:rPr>
          <w:rFonts w:hint="eastAsia" w:ascii="宋体" w:hAnsi="宋体" w:eastAsia="仿宋_GB2312"/>
          <w:color w:val="auto"/>
          <w:sz w:val="32"/>
          <w:szCs w:val="32"/>
          <w:lang w:eastAsia="zh-CN"/>
        </w:rPr>
        <w:t>古路板管理站</w:t>
      </w:r>
      <w:r>
        <w:rPr>
          <w:rFonts w:hint="eastAsia" w:ascii="宋体" w:hAnsi="宋体" w:eastAsia="仿宋_GB2312"/>
          <w:color w:val="auto"/>
          <w:sz w:val="32"/>
          <w:szCs w:val="32"/>
        </w:rPr>
        <w:t>负责组织先期扑救</w:t>
      </w:r>
      <w:r>
        <w:rPr>
          <w:rFonts w:hint="eastAsia" w:ascii="宋体" w:hAnsi="宋体" w:eastAsia="仿宋_GB2312"/>
          <w:color w:val="auto"/>
          <w:sz w:val="32"/>
          <w:szCs w:val="32"/>
          <w:lang w:eastAsia="zh-CN"/>
        </w:rPr>
        <w:t>，</w:t>
      </w:r>
      <w:r>
        <w:rPr>
          <w:rFonts w:hint="eastAsia" w:ascii="宋体" w:hAnsi="宋体" w:eastAsia="仿宋_GB2312"/>
          <w:color w:val="auto"/>
          <w:sz w:val="32"/>
          <w:szCs w:val="32"/>
        </w:rPr>
        <w:t>确保森林草原火灾打早、打小、打了。</w:t>
      </w:r>
    </w:p>
    <w:p>
      <w:pPr>
        <w:pStyle w:val="12"/>
        <w:keepNext w:val="0"/>
        <w:keepLines w:val="0"/>
        <w:pageBreakBefore w:val="0"/>
        <w:widowControl w:val="0"/>
        <w:kinsoku/>
        <w:wordWrap/>
        <w:overflowPunct/>
        <w:topLinePunct w:val="0"/>
        <w:autoSpaceDE/>
        <w:autoSpaceDN/>
        <w:bidi w:val="0"/>
        <w:spacing w:beforeAutospacing="0" w:afterAutospacing="0" w:line="360" w:lineRule="auto"/>
        <w:ind w:firstLine="640" w:firstLineChars="200"/>
        <w:jc w:val="both"/>
        <w:textAlignment w:val="auto"/>
        <w:rPr>
          <w:rFonts w:hint="eastAsia" w:ascii="仿宋_GB2312" w:hAnsi="仿宋_GB2312" w:eastAsia="仿宋_GB2312" w:cs="仿宋_GB2312"/>
          <w:color w:val="auto"/>
          <w:kern w:val="2"/>
          <w:sz w:val="32"/>
          <w:szCs w:val="22"/>
        </w:rPr>
      </w:pPr>
      <w:r>
        <w:rPr>
          <w:rFonts w:hint="eastAsia" w:ascii="仿宋_GB2312" w:hAnsi="仿宋_GB2312" w:eastAsia="仿宋_GB2312" w:cs="仿宋_GB2312"/>
          <w:color w:val="auto"/>
          <w:kern w:val="2"/>
          <w:sz w:val="32"/>
          <w:szCs w:val="22"/>
        </w:rPr>
        <w:t>1.5.3</w:t>
      </w:r>
      <w:r>
        <w:rPr>
          <w:rFonts w:hint="eastAsia" w:ascii="仿宋_GB2312" w:hAnsi="仿宋_GB2312" w:eastAsia="仿宋_GB2312" w:cs="仿宋_GB2312"/>
          <w:color w:val="auto"/>
          <w:kern w:val="2"/>
          <w:sz w:val="32"/>
          <w:szCs w:val="22"/>
          <w:lang w:val="en-US" w:eastAsia="zh-CN"/>
        </w:rPr>
        <w:t xml:space="preserve"> </w:t>
      </w:r>
      <w:r>
        <w:rPr>
          <w:rFonts w:hint="eastAsia" w:ascii="仿宋_GB2312" w:hAnsi="仿宋_GB2312" w:eastAsia="仿宋_GB2312" w:cs="仿宋_GB2312"/>
          <w:color w:val="auto"/>
          <w:kern w:val="2"/>
          <w:sz w:val="32"/>
          <w:szCs w:val="22"/>
        </w:rPr>
        <w:t>分级响应，逐级负责</w:t>
      </w:r>
    </w:p>
    <w:p>
      <w:pPr>
        <w:pStyle w:val="12"/>
        <w:pageBreakBefore w:val="0"/>
        <w:widowControl w:val="0"/>
        <w:kinsoku/>
        <w:wordWrap/>
        <w:overflowPunct/>
        <w:topLinePunct w:val="0"/>
        <w:autoSpaceDE/>
        <w:autoSpaceDN/>
        <w:bidi w:val="0"/>
        <w:spacing w:beforeAutospacing="0" w:afterAutospacing="0" w:line="360" w:lineRule="auto"/>
        <w:ind w:firstLine="640" w:firstLineChars="200"/>
        <w:textAlignment w:val="auto"/>
        <w:rPr>
          <w:rFonts w:ascii="宋体" w:hAnsi="宋体" w:eastAsia="仿宋_GB2312"/>
          <w:color w:val="auto"/>
          <w:sz w:val="32"/>
          <w:szCs w:val="32"/>
        </w:rPr>
      </w:pPr>
      <w:r>
        <w:rPr>
          <w:rFonts w:hint="eastAsia" w:ascii="宋体" w:hAnsi="宋体" w:eastAsia="仿宋_GB2312"/>
          <w:color w:val="auto"/>
          <w:sz w:val="32"/>
          <w:szCs w:val="32"/>
        </w:rPr>
        <w:t>根据森林草原火灾的严重程度、影响范围，分级启动应急预案，逐级明确责任人和指挥权限。建立统一高效的组织指挥体系</w:t>
      </w:r>
      <w:r>
        <w:rPr>
          <w:rFonts w:hint="eastAsia" w:ascii="宋体" w:hAnsi="宋体" w:eastAsia="仿宋_GB2312"/>
          <w:color w:val="auto"/>
          <w:sz w:val="32"/>
          <w:szCs w:val="32"/>
          <w:lang w:val="en-US" w:eastAsia="zh-CN"/>
        </w:rPr>
        <w:t>和</w:t>
      </w:r>
      <w:r>
        <w:rPr>
          <w:rFonts w:hint="eastAsia" w:ascii="宋体" w:hAnsi="宋体" w:eastAsia="仿宋_GB2312"/>
          <w:color w:val="auto"/>
          <w:sz w:val="32"/>
          <w:szCs w:val="32"/>
        </w:rPr>
        <w:t>应急响应机制。</w:t>
      </w:r>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outlineLvl w:val="0"/>
        <w:rPr>
          <w:rFonts w:hint="eastAsia" w:ascii="黑体" w:eastAsia="黑体"/>
          <w:bCs/>
          <w:color w:val="auto"/>
          <w:kern w:val="44"/>
          <w:sz w:val="32"/>
          <w:szCs w:val="44"/>
        </w:rPr>
      </w:pPr>
      <w:bookmarkStart w:id="25" w:name="_Toc25743"/>
      <w:bookmarkStart w:id="26" w:name="_Toc5511"/>
      <w:bookmarkStart w:id="27" w:name="_Toc10588"/>
      <w:r>
        <w:rPr>
          <w:rFonts w:hint="eastAsia" w:ascii="黑体" w:eastAsia="黑体"/>
          <w:bCs/>
          <w:color w:val="auto"/>
          <w:kern w:val="44"/>
          <w:sz w:val="32"/>
          <w:szCs w:val="44"/>
        </w:rPr>
        <w:t>2 主要任务</w:t>
      </w:r>
      <w:bookmarkEnd w:id="25"/>
      <w:bookmarkEnd w:id="26"/>
      <w:bookmarkEnd w:id="27"/>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outlineLvl w:val="1"/>
        <w:rPr>
          <w:rFonts w:hint="eastAsia" w:ascii="黑体" w:eastAsia="黑体"/>
          <w:bCs/>
          <w:color w:val="auto"/>
          <w:kern w:val="44"/>
          <w:sz w:val="32"/>
          <w:szCs w:val="44"/>
        </w:rPr>
      </w:pPr>
      <w:bookmarkStart w:id="28" w:name="_Toc14540"/>
      <w:bookmarkStart w:id="29" w:name="_Toc30767"/>
      <w:bookmarkStart w:id="30" w:name="_Toc6145"/>
      <w:r>
        <w:rPr>
          <w:rFonts w:hint="eastAsia" w:ascii="黑体" w:eastAsia="黑体"/>
          <w:bCs/>
          <w:color w:val="auto"/>
          <w:kern w:val="44"/>
          <w:sz w:val="32"/>
          <w:szCs w:val="44"/>
        </w:rPr>
        <w:t>2.1 组织灭火行动</w:t>
      </w:r>
      <w:bookmarkEnd w:id="28"/>
      <w:bookmarkEnd w:id="29"/>
      <w:bookmarkEnd w:id="3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科学运用各种手段扑打明火、开设防火隔离带、清理火线、看守火场，严防次生灾害发生。</w:t>
      </w:r>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outlineLvl w:val="1"/>
        <w:rPr>
          <w:rFonts w:hint="eastAsia" w:ascii="黑体" w:eastAsia="黑体"/>
          <w:bCs/>
          <w:color w:val="auto"/>
          <w:kern w:val="44"/>
          <w:sz w:val="32"/>
          <w:szCs w:val="44"/>
        </w:rPr>
      </w:pPr>
      <w:bookmarkStart w:id="31" w:name="_Toc11444"/>
      <w:bookmarkStart w:id="32" w:name="_Toc15460"/>
      <w:bookmarkStart w:id="33" w:name="_Toc25940"/>
      <w:r>
        <w:rPr>
          <w:rFonts w:hint="eastAsia" w:ascii="黑体" w:eastAsia="黑体"/>
          <w:bCs/>
          <w:color w:val="auto"/>
          <w:kern w:val="44"/>
          <w:sz w:val="32"/>
          <w:szCs w:val="44"/>
        </w:rPr>
        <w:t>2.2 解救疏散人员</w:t>
      </w:r>
      <w:bookmarkEnd w:id="31"/>
      <w:bookmarkEnd w:id="32"/>
      <w:bookmarkEnd w:id="33"/>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组织解救、转移、疏散受威胁群众并及时妥善安置和开展必要的医疗救治。</w:t>
      </w:r>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outlineLvl w:val="1"/>
        <w:rPr>
          <w:rFonts w:hint="eastAsia" w:ascii="黑体" w:eastAsia="黑体"/>
          <w:bCs/>
          <w:color w:val="auto"/>
          <w:kern w:val="44"/>
          <w:sz w:val="32"/>
          <w:szCs w:val="44"/>
        </w:rPr>
      </w:pPr>
      <w:bookmarkStart w:id="34" w:name="_Toc31099"/>
      <w:bookmarkStart w:id="35" w:name="_Toc19427"/>
      <w:bookmarkStart w:id="36" w:name="_Toc15400"/>
      <w:r>
        <w:rPr>
          <w:rFonts w:hint="eastAsia" w:ascii="黑体" w:eastAsia="黑体"/>
          <w:bCs/>
          <w:color w:val="auto"/>
          <w:kern w:val="44"/>
          <w:sz w:val="32"/>
          <w:szCs w:val="44"/>
        </w:rPr>
        <w:t>2.3 保护重要目标</w:t>
      </w:r>
      <w:bookmarkEnd w:id="34"/>
      <w:bookmarkEnd w:id="35"/>
      <w:bookmarkEnd w:id="36"/>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保护民生和重要军事目标并确保重大危险源安全。</w:t>
      </w:r>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outlineLvl w:val="1"/>
        <w:rPr>
          <w:rFonts w:hint="eastAsia" w:ascii="黑体" w:eastAsia="黑体"/>
          <w:bCs/>
          <w:color w:val="auto"/>
          <w:kern w:val="44"/>
          <w:sz w:val="32"/>
          <w:szCs w:val="44"/>
        </w:rPr>
      </w:pPr>
      <w:bookmarkStart w:id="37" w:name="_Toc31331"/>
      <w:bookmarkStart w:id="38" w:name="_Toc22349"/>
      <w:bookmarkStart w:id="39" w:name="_Toc7062"/>
      <w:r>
        <w:rPr>
          <w:rFonts w:hint="eastAsia" w:ascii="黑体" w:eastAsia="黑体"/>
          <w:bCs/>
          <w:color w:val="auto"/>
          <w:kern w:val="44"/>
          <w:sz w:val="32"/>
          <w:szCs w:val="44"/>
        </w:rPr>
        <w:t>2.4 转移重要物资</w:t>
      </w:r>
      <w:bookmarkEnd w:id="37"/>
      <w:bookmarkEnd w:id="38"/>
      <w:bookmarkEnd w:id="39"/>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组织抢救、运送、转移重要物资。</w:t>
      </w:r>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outlineLvl w:val="1"/>
        <w:rPr>
          <w:rFonts w:hint="eastAsia" w:ascii="黑体" w:eastAsia="黑体"/>
          <w:bCs/>
          <w:color w:val="auto"/>
          <w:kern w:val="44"/>
          <w:sz w:val="32"/>
          <w:szCs w:val="44"/>
        </w:rPr>
      </w:pPr>
      <w:bookmarkStart w:id="40" w:name="_Toc9723"/>
      <w:bookmarkStart w:id="41" w:name="_Toc23710"/>
      <w:bookmarkStart w:id="42" w:name="_Toc27221"/>
      <w:r>
        <w:rPr>
          <w:rFonts w:hint="eastAsia" w:ascii="黑体" w:eastAsia="黑体"/>
          <w:bCs/>
          <w:color w:val="auto"/>
          <w:kern w:val="44"/>
          <w:sz w:val="32"/>
          <w:szCs w:val="44"/>
        </w:rPr>
        <w:t>2.5 维护社会稳定</w:t>
      </w:r>
      <w:bookmarkEnd w:id="40"/>
      <w:bookmarkEnd w:id="41"/>
      <w:bookmarkEnd w:id="42"/>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color w:val="auto"/>
        </w:rPr>
      </w:pPr>
      <w:r>
        <w:rPr>
          <w:rFonts w:hint="eastAsia" w:ascii="仿宋_GB2312" w:hAnsi="仿宋_GB2312" w:eastAsia="仿宋_GB2312" w:cs="仿宋_GB2312"/>
          <w:color w:val="auto"/>
          <w:kern w:val="0"/>
          <w:sz w:val="32"/>
          <w:szCs w:val="32"/>
        </w:rPr>
        <w:t>加强火灾发生地区及周边社会治安和公共安全工作，严密防范各类违法犯罪行为，加强重点目标守卫和治安巡逻，维护火灾发生地区及周边社会秩序稳定。</w:t>
      </w:r>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outlineLvl w:val="0"/>
        <w:rPr>
          <w:rFonts w:hint="eastAsia" w:ascii="黑体" w:eastAsia="黑体"/>
          <w:bCs/>
          <w:color w:val="auto"/>
          <w:kern w:val="44"/>
          <w:sz w:val="32"/>
          <w:szCs w:val="44"/>
        </w:rPr>
      </w:pPr>
      <w:bookmarkStart w:id="43" w:name="_Toc23465"/>
      <w:bookmarkStart w:id="44" w:name="_Toc27880"/>
      <w:bookmarkStart w:id="45" w:name="_Toc12531"/>
      <w:bookmarkStart w:id="46" w:name="_Toc12358"/>
      <w:bookmarkStart w:id="47" w:name="_Toc26563"/>
      <w:r>
        <w:rPr>
          <w:rFonts w:hint="eastAsia" w:ascii="黑体" w:eastAsia="黑体"/>
          <w:bCs/>
          <w:color w:val="auto"/>
          <w:kern w:val="44"/>
          <w:sz w:val="32"/>
          <w:szCs w:val="44"/>
          <w:lang w:val="en-US" w:eastAsia="zh-CN"/>
        </w:rPr>
        <w:t>3</w:t>
      </w:r>
      <w:r>
        <w:rPr>
          <w:rFonts w:hint="eastAsia" w:ascii="黑体" w:eastAsia="黑体"/>
          <w:bCs/>
          <w:color w:val="auto"/>
          <w:kern w:val="44"/>
          <w:sz w:val="32"/>
          <w:szCs w:val="44"/>
        </w:rPr>
        <w:t xml:space="preserve"> 组织指挥体系</w:t>
      </w:r>
      <w:bookmarkEnd w:id="43"/>
      <w:bookmarkEnd w:id="44"/>
      <w:r>
        <w:rPr>
          <w:rFonts w:hint="eastAsia" w:ascii="黑体" w:eastAsia="黑体"/>
          <w:bCs/>
          <w:color w:val="auto"/>
          <w:kern w:val="44"/>
          <w:sz w:val="32"/>
          <w:szCs w:val="44"/>
        </w:rPr>
        <w:t>与职责</w:t>
      </w:r>
      <w:bookmarkEnd w:id="45"/>
      <w:bookmarkEnd w:id="46"/>
      <w:bookmarkEnd w:id="47"/>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outlineLvl w:val="1"/>
        <w:rPr>
          <w:rFonts w:hint="eastAsia" w:ascii="黑体" w:eastAsia="黑体"/>
          <w:bCs/>
          <w:color w:val="auto"/>
          <w:kern w:val="44"/>
          <w:sz w:val="32"/>
          <w:szCs w:val="44"/>
          <w:lang w:val="en-US" w:eastAsia="zh-CN"/>
        </w:rPr>
      </w:pPr>
      <w:bookmarkStart w:id="48" w:name="_Toc24091"/>
      <w:bookmarkStart w:id="49" w:name="_Toc17333"/>
      <w:bookmarkStart w:id="50" w:name="_Toc15581"/>
      <w:bookmarkStart w:id="51" w:name="_Toc31131"/>
      <w:bookmarkStart w:id="52" w:name="_Toc3688"/>
      <w:r>
        <w:rPr>
          <w:rFonts w:hint="eastAsia" w:ascii="黑体" w:eastAsia="黑体"/>
          <w:bCs/>
          <w:color w:val="auto"/>
          <w:kern w:val="44"/>
          <w:sz w:val="32"/>
          <w:szCs w:val="44"/>
          <w:lang w:val="en-US" w:eastAsia="zh-CN"/>
        </w:rPr>
        <w:t>3</w:t>
      </w:r>
      <w:r>
        <w:rPr>
          <w:rFonts w:hint="eastAsia" w:ascii="黑体" w:eastAsia="黑体"/>
          <w:bCs/>
          <w:color w:val="auto"/>
          <w:kern w:val="44"/>
          <w:sz w:val="32"/>
          <w:szCs w:val="44"/>
        </w:rPr>
        <w:t>.1</w:t>
      </w:r>
      <w:bookmarkEnd w:id="48"/>
      <w:bookmarkEnd w:id="49"/>
      <w:r>
        <w:rPr>
          <w:rFonts w:hint="eastAsia" w:ascii="黑体" w:eastAsia="黑体"/>
          <w:bCs/>
          <w:color w:val="auto"/>
          <w:kern w:val="44"/>
          <w:sz w:val="32"/>
          <w:szCs w:val="44"/>
        </w:rPr>
        <w:t xml:space="preserve"> 森林草原防灭火指挥机构</w:t>
      </w:r>
      <w:bookmarkEnd w:id="50"/>
      <w:r>
        <w:rPr>
          <w:rFonts w:hint="eastAsia" w:ascii="黑体" w:eastAsia="黑体"/>
          <w:bCs/>
          <w:color w:val="auto"/>
          <w:kern w:val="44"/>
          <w:sz w:val="32"/>
          <w:szCs w:val="44"/>
          <w:lang w:val="en-US" w:eastAsia="zh-CN"/>
        </w:rPr>
        <w:t>及其成员</w:t>
      </w:r>
      <w:bookmarkEnd w:id="51"/>
      <w:r>
        <w:rPr>
          <w:rFonts w:hint="eastAsia" w:ascii="黑体" w:eastAsia="黑体"/>
          <w:bCs/>
          <w:color w:val="auto"/>
          <w:kern w:val="44"/>
          <w:sz w:val="32"/>
          <w:szCs w:val="44"/>
          <w:lang w:val="en-US" w:eastAsia="zh-CN"/>
        </w:rPr>
        <w:t>单位</w:t>
      </w:r>
      <w:bookmarkEnd w:id="52"/>
    </w:p>
    <w:p>
      <w:pPr>
        <w:pStyle w:val="12"/>
        <w:keepNext w:val="0"/>
        <w:keepLines w:val="0"/>
        <w:pageBreakBefore w:val="0"/>
        <w:widowControl w:val="0"/>
        <w:kinsoku/>
        <w:wordWrap/>
        <w:overflowPunct/>
        <w:topLinePunct w:val="0"/>
        <w:autoSpaceDE/>
        <w:autoSpaceDN/>
        <w:bidi w:val="0"/>
        <w:spacing w:beforeAutospacing="0" w:afterAutospacing="0" w:line="360" w:lineRule="auto"/>
        <w:ind w:firstLine="640" w:firstLineChars="200"/>
        <w:jc w:val="both"/>
        <w:textAlignment w:val="auto"/>
        <w:rPr>
          <w:rFonts w:hint="eastAsia" w:ascii="仿宋_GB2312" w:hAnsi="仿宋_GB2312" w:eastAsia="仿宋_GB2312" w:cs="仿宋_GB2312"/>
          <w:color w:val="auto"/>
          <w:kern w:val="2"/>
          <w:sz w:val="32"/>
          <w:szCs w:val="22"/>
          <w:lang w:val="en-US" w:eastAsia="zh-CN"/>
        </w:rPr>
      </w:pPr>
      <w:r>
        <w:rPr>
          <w:rFonts w:hint="eastAsia" w:ascii="仿宋_GB2312" w:hAnsi="仿宋_GB2312" w:eastAsia="仿宋_GB2312" w:cs="仿宋_GB2312"/>
          <w:color w:val="auto"/>
          <w:kern w:val="2"/>
          <w:sz w:val="32"/>
          <w:szCs w:val="22"/>
          <w:lang w:val="en-US" w:eastAsia="zh-CN"/>
        </w:rPr>
        <w:t>3</w:t>
      </w:r>
      <w:r>
        <w:rPr>
          <w:rFonts w:hint="eastAsia" w:ascii="仿宋_GB2312" w:hAnsi="仿宋_GB2312" w:eastAsia="仿宋_GB2312" w:cs="仿宋_GB2312"/>
          <w:color w:val="auto"/>
          <w:kern w:val="2"/>
          <w:sz w:val="32"/>
          <w:szCs w:val="22"/>
        </w:rPr>
        <w:t>.1</w:t>
      </w:r>
      <w:r>
        <w:rPr>
          <w:rFonts w:hint="eastAsia" w:ascii="仿宋_GB2312" w:hAnsi="仿宋_GB2312" w:eastAsia="仿宋_GB2312" w:cs="仿宋_GB2312"/>
          <w:color w:val="auto"/>
          <w:kern w:val="2"/>
          <w:sz w:val="32"/>
          <w:szCs w:val="22"/>
          <w:lang w:val="en-US" w:eastAsia="zh-CN"/>
        </w:rPr>
        <w:t>.1</w:t>
      </w:r>
      <w:r>
        <w:rPr>
          <w:rFonts w:hint="eastAsia" w:ascii="仿宋_GB2312" w:hAnsi="仿宋_GB2312" w:eastAsia="仿宋_GB2312" w:cs="仿宋_GB2312"/>
          <w:color w:val="auto"/>
          <w:kern w:val="2"/>
          <w:sz w:val="32"/>
          <w:szCs w:val="22"/>
        </w:rPr>
        <w:t xml:space="preserve"> </w:t>
      </w:r>
      <w:r>
        <w:rPr>
          <w:rFonts w:hint="eastAsia" w:ascii="仿宋_GB2312" w:hAnsi="仿宋_GB2312" w:eastAsia="仿宋_GB2312" w:cs="仿宋_GB2312"/>
          <w:color w:val="auto"/>
          <w:kern w:val="2"/>
          <w:sz w:val="32"/>
          <w:szCs w:val="22"/>
          <w:lang w:val="en-US" w:eastAsia="zh-CN"/>
        </w:rPr>
        <w:t>区</w:t>
      </w:r>
      <w:r>
        <w:rPr>
          <w:rFonts w:hint="eastAsia" w:ascii="仿宋_GB2312" w:hAnsi="仿宋_GB2312" w:eastAsia="仿宋_GB2312" w:cs="仿宋_GB2312"/>
          <w:color w:val="auto"/>
          <w:kern w:val="2"/>
          <w:sz w:val="32"/>
          <w:szCs w:val="22"/>
        </w:rPr>
        <w:t>森林草原防灭火指挥</w:t>
      </w:r>
      <w:r>
        <w:rPr>
          <w:rFonts w:hint="eastAsia" w:ascii="仿宋_GB2312" w:hAnsi="仿宋_GB2312" w:eastAsia="仿宋_GB2312" w:cs="仿宋_GB2312"/>
          <w:color w:val="auto"/>
          <w:kern w:val="2"/>
          <w:sz w:val="32"/>
          <w:szCs w:val="22"/>
          <w:lang w:val="en-US" w:eastAsia="zh-CN"/>
        </w:rPr>
        <w:t>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区森林</w:t>
      </w:r>
      <w:r>
        <w:rPr>
          <w:rFonts w:hint="eastAsia" w:ascii="仿宋_GB2312" w:hAnsi="仿宋_GB2312" w:eastAsia="仿宋_GB2312" w:cs="仿宋_GB2312"/>
          <w:color w:val="auto"/>
          <w:sz w:val="32"/>
          <w:szCs w:val="32"/>
          <w:lang w:val="en-US" w:eastAsia="zh-CN"/>
        </w:rPr>
        <w:t>草原</w:t>
      </w:r>
      <w:r>
        <w:rPr>
          <w:rFonts w:hint="eastAsia" w:ascii="仿宋_GB2312" w:hAnsi="仿宋_GB2312" w:eastAsia="仿宋_GB2312" w:cs="仿宋_GB2312"/>
          <w:color w:val="auto"/>
          <w:sz w:val="32"/>
          <w:szCs w:val="32"/>
        </w:rPr>
        <w:t>防灭火指挥部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以下简称“区森防指”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负责组织、协调和指导</w:t>
      </w: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区森林</w:t>
      </w:r>
      <w:r>
        <w:rPr>
          <w:rFonts w:hint="eastAsia" w:ascii="仿宋_GB2312" w:hAnsi="仿宋_GB2312" w:eastAsia="仿宋_GB2312" w:cs="仿宋_GB2312"/>
          <w:color w:val="auto"/>
          <w:sz w:val="32"/>
          <w:szCs w:val="32"/>
          <w:lang w:val="en-US" w:eastAsia="zh-CN"/>
        </w:rPr>
        <w:t>草原</w:t>
      </w:r>
      <w:r>
        <w:rPr>
          <w:rFonts w:hint="eastAsia" w:ascii="仿宋_GB2312" w:hAnsi="仿宋_GB2312" w:eastAsia="仿宋_GB2312" w:cs="仿宋_GB2312"/>
          <w:color w:val="auto"/>
          <w:sz w:val="32"/>
          <w:szCs w:val="32"/>
        </w:rPr>
        <w:t>防灭火工作。</w:t>
      </w:r>
      <w:r>
        <w:rPr>
          <w:rFonts w:hint="eastAsia" w:ascii="仿宋_GB2312" w:hAnsi="仿宋_GB2312" w:eastAsia="仿宋_GB2312" w:cs="仿宋_GB2312"/>
          <w:color w:val="auto"/>
          <w:kern w:val="2"/>
          <w:sz w:val="32"/>
          <w:szCs w:val="22"/>
        </w:rPr>
        <w:t>保和少镇、成吉思汗大街街道办事处、</w:t>
      </w:r>
      <w:r>
        <w:rPr>
          <w:rFonts w:hint="eastAsia" w:ascii="仿宋_GB2312" w:hAnsi="仿宋_GB2312" w:eastAsia="仿宋_GB2312" w:cs="仿宋_GB2312"/>
          <w:color w:val="auto"/>
          <w:kern w:val="2"/>
          <w:sz w:val="32"/>
          <w:szCs w:val="22"/>
          <w:lang w:eastAsia="zh-CN"/>
        </w:rPr>
        <w:t>古路板管理站</w:t>
      </w:r>
      <w:r>
        <w:rPr>
          <w:rFonts w:hint="eastAsia" w:ascii="仿宋_GB2312" w:hAnsi="仿宋_GB2312" w:eastAsia="仿宋_GB2312" w:cs="仿宋_GB2312"/>
          <w:color w:val="auto"/>
          <w:kern w:val="2"/>
          <w:sz w:val="32"/>
          <w:szCs w:val="22"/>
        </w:rPr>
        <w:t>、其他森林草原管理单位按要求设立森林草原</w:t>
      </w:r>
      <w:r>
        <w:rPr>
          <w:rFonts w:hint="eastAsia" w:ascii="仿宋_GB2312" w:hAnsi="仿宋_GB2312" w:eastAsia="仿宋_GB2312" w:cs="仿宋_GB2312"/>
          <w:color w:val="auto"/>
          <w:kern w:val="2"/>
          <w:sz w:val="32"/>
          <w:szCs w:val="22"/>
          <w:lang w:val="en-US" w:eastAsia="zh-CN"/>
        </w:rPr>
        <w:t>防</w:t>
      </w:r>
      <w:r>
        <w:rPr>
          <w:rFonts w:hint="eastAsia" w:ascii="仿宋_GB2312" w:hAnsi="仿宋_GB2312" w:eastAsia="仿宋_GB2312" w:cs="仿宋_GB2312"/>
          <w:color w:val="auto"/>
          <w:kern w:val="2"/>
          <w:sz w:val="32"/>
          <w:szCs w:val="22"/>
        </w:rPr>
        <w:t>灭火指挥</w:t>
      </w:r>
      <w:r>
        <w:rPr>
          <w:rFonts w:hint="eastAsia" w:ascii="仿宋_GB2312" w:hAnsi="仿宋_GB2312" w:eastAsia="仿宋_GB2312" w:cs="仿宋_GB2312"/>
          <w:color w:val="auto"/>
          <w:kern w:val="2"/>
          <w:sz w:val="32"/>
          <w:szCs w:val="22"/>
          <w:lang w:val="en-US" w:eastAsia="zh-CN"/>
        </w:rPr>
        <w:t>部</w:t>
      </w:r>
      <w:r>
        <w:rPr>
          <w:rFonts w:hint="eastAsia" w:ascii="仿宋_GB2312" w:hAnsi="仿宋_GB2312" w:eastAsia="仿宋_GB2312" w:cs="仿宋_GB2312"/>
          <w:color w:val="auto"/>
          <w:kern w:val="2"/>
          <w:sz w:val="32"/>
          <w:szCs w:val="22"/>
        </w:rPr>
        <w:t>，负责组织力量扑救本辖区森林草原火灾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rPr>
        <w:t>区森防指组成如下：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158" w:leftChars="304" w:right="0" w:hanging="3520" w:hangingChars="11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总</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指</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挥：</w:t>
      </w:r>
      <w:r>
        <w:rPr>
          <w:rFonts w:hint="eastAsia" w:ascii="仿宋_GB2312" w:hAnsi="仿宋_GB2312" w:eastAsia="仿宋_GB2312" w:cs="仿宋_GB2312"/>
          <w:color w:val="auto"/>
          <w:sz w:val="32"/>
          <w:szCs w:val="32"/>
          <w:lang w:val="en-US" w:eastAsia="zh-CN"/>
        </w:rPr>
        <w:t xml:space="preserve">殷树刚  </w:t>
      </w:r>
      <w:r>
        <w:rPr>
          <w:rFonts w:hint="eastAsia" w:ascii="仿宋_GB2312" w:hAnsi="仿宋_GB2312" w:eastAsia="仿宋_GB2312" w:cs="仿宋_GB2312"/>
          <w:color w:val="auto"/>
          <w:sz w:val="32"/>
          <w:szCs w:val="22"/>
          <w:highlight w:val="none"/>
          <w:lang w:val="en-US" w:eastAsia="zh-CN"/>
        </w:rPr>
        <w:t>区委副书记、政府党组书记、区人民政府代区长</w:t>
      </w:r>
    </w:p>
    <w:p>
      <w:pPr>
        <w:keepNext w:val="0"/>
        <w:keepLines w:val="0"/>
        <w:pageBreakBefore w:val="0"/>
        <w:widowControl w:val="0"/>
        <w:kinsoku/>
        <w:wordWrap/>
        <w:overflowPunct/>
        <w:topLinePunct w:val="0"/>
        <w:autoSpaceDE/>
        <w:autoSpaceDN/>
        <w:bidi w:val="0"/>
        <w:adjustRightInd/>
        <w:snapToGrid/>
        <w:spacing w:before="0" w:after="0" w:line="360" w:lineRule="auto"/>
        <w:ind w:firstLine="640" w:firstLineChars="200"/>
        <w:jc w:val="both"/>
        <w:textAlignment w:val="auto"/>
        <w:rPr>
          <w:rFonts w:hint="eastAsia" w:ascii="仿宋_GB2312" w:hAnsi="仿宋_GB2312" w:eastAsia="仿宋_GB2312" w:cs="仿宋_GB2312"/>
          <w:color w:val="auto"/>
          <w:sz w:val="32"/>
          <w:szCs w:val="32"/>
          <w:lang w:val="en-US" w:eastAsia="zh-CN"/>
        </w:rPr>
      </w:pPr>
      <w:bookmarkStart w:id="53" w:name="_Toc5131"/>
      <w:bookmarkStart w:id="54" w:name="_Toc23974"/>
      <w:bookmarkStart w:id="55" w:name="_Toc21712"/>
      <w:r>
        <w:rPr>
          <w:rFonts w:hint="eastAsia" w:ascii="仿宋_GB2312" w:hAnsi="仿宋_GB2312" w:eastAsia="仿宋_GB2312" w:cs="仿宋_GB2312"/>
          <w:color w:val="auto"/>
          <w:sz w:val="32"/>
          <w:szCs w:val="32"/>
          <w:lang w:val="en-US" w:eastAsia="zh-CN"/>
        </w:rPr>
        <w:t>常务副总指挥：安  伟  区人民政府常务副区长</w:t>
      </w:r>
      <w:bookmarkEnd w:id="53"/>
      <w:bookmarkEnd w:id="54"/>
      <w:bookmarkEnd w:id="55"/>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副</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总</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指</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挥：</w:t>
      </w:r>
      <w:r>
        <w:rPr>
          <w:rFonts w:hint="eastAsia" w:ascii="仿宋_GB2312" w:hAnsi="仿宋_GB2312" w:eastAsia="仿宋_GB2312" w:cs="仿宋_GB2312"/>
          <w:color w:val="auto"/>
          <w:kern w:val="2"/>
          <w:sz w:val="32"/>
          <w:szCs w:val="22"/>
          <w:lang w:val="en-US" w:eastAsia="zh-CN" w:bidi="ar-SA"/>
        </w:rPr>
        <w:t>孟树涛  区武装部部长</w:t>
      </w:r>
    </w:p>
    <w:p>
      <w:pPr>
        <w:keepNext w:val="0"/>
        <w:keepLines w:val="0"/>
        <w:pageBreakBefore w:val="0"/>
        <w:widowControl w:val="0"/>
        <w:kinsoku/>
        <w:wordWrap/>
        <w:overflowPunct/>
        <w:topLinePunct w:val="0"/>
        <w:autoSpaceDE/>
        <w:autoSpaceDN/>
        <w:bidi w:val="0"/>
        <w:adjustRightInd/>
        <w:snapToGrid/>
        <w:spacing w:line="360" w:lineRule="auto"/>
        <w:ind w:firstLine="2880" w:firstLineChars="9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海  明  区人民政府副区长</w:t>
      </w:r>
    </w:p>
    <w:p>
      <w:pPr>
        <w:keepNext w:val="0"/>
        <w:keepLines w:val="0"/>
        <w:pageBreakBefore w:val="0"/>
        <w:widowControl w:val="0"/>
        <w:kinsoku/>
        <w:wordWrap/>
        <w:overflowPunct/>
        <w:topLinePunct w:val="0"/>
        <w:autoSpaceDE/>
        <w:autoSpaceDN/>
        <w:bidi w:val="0"/>
        <w:adjustRightInd/>
        <w:snapToGrid/>
        <w:spacing w:line="360" w:lineRule="auto"/>
        <w:ind w:firstLine="2880" w:firstLineChars="9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吴  青  区人民政府副区长</w:t>
      </w:r>
    </w:p>
    <w:p>
      <w:pPr>
        <w:keepNext w:val="0"/>
        <w:keepLines w:val="0"/>
        <w:pageBreakBefore w:val="0"/>
        <w:widowControl w:val="0"/>
        <w:kinsoku/>
        <w:wordWrap/>
        <w:overflowPunct/>
        <w:topLinePunct w:val="0"/>
        <w:autoSpaceDE/>
        <w:autoSpaceDN/>
        <w:bidi w:val="0"/>
        <w:adjustRightInd/>
        <w:snapToGrid/>
        <w:spacing w:line="360" w:lineRule="auto"/>
        <w:ind w:firstLine="2880" w:firstLineChars="9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郝占成  区安委会副主任</w:t>
      </w:r>
    </w:p>
    <w:p>
      <w:pPr>
        <w:keepNext w:val="0"/>
        <w:keepLines w:val="0"/>
        <w:pageBreakBefore w:val="0"/>
        <w:widowControl w:val="0"/>
        <w:kinsoku/>
        <w:wordWrap/>
        <w:overflowPunct/>
        <w:topLinePunct w:val="0"/>
        <w:autoSpaceDE/>
        <w:autoSpaceDN/>
        <w:bidi w:val="0"/>
        <w:adjustRightInd/>
        <w:snapToGrid/>
        <w:spacing w:line="360" w:lineRule="auto"/>
        <w:ind w:firstLine="2880" w:firstLineChars="9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尹  群  区人民政府办公室主任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2"/>
          <w:sz w:val="32"/>
          <w:szCs w:val="22"/>
          <w:lang w:val="en-US" w:eastAsia="zh-CN" w:bidi="ar-SA"/>
        </w:rPr>
      </w:pPr>
      <w:r>
        <w:rPr>
          <w:rFonts w:hint="eastAsia" w:ascii="仿宋_GB2312" w:hAnsi="仿宋_GB2312" w:eastAsia="仿宋_GB2312" w:cs="仿宋_GB2312"/>
          <w:color w:val="auto"/>
          <w:kern w:val="0"/>
          <w:sz w:val="32"/>
          <w:szCs w:val="32"/>
          <w:lang w:val="en-US" w:eastAsia="zh-CN" w:bidi="ar-SA"/>
        </w:rPr>
        <w:t>成        员：</w:t>
      </w:r>
      <w:r>
        <w:rPr>
          <w:rFonts w:hint="eastAsia" w:ascii="仿宋_GB2312" w:hAnsi="仿宋_GB2312" w:eastAsia="仿宋_GB2312" w:cs="仿宋_GB2312"/>
          <w:color w:val="auto"/>
          <w:kern w:val="2"/>
          <w:sz w:val="32"/>
          <w:szCs w:val="22"/>
          <w:lang w:val="en-US" w:eastAsia="zh-CN" w:bidi="ar-SA"/>
        </w:rPr>
        <w:t>王  昇  区委宣传部副部长</w:t>
      </w:r>
    </w:p>
    <w:p>
      <w:pPr>
        <w:keepNext w:val="0"/>
        <w:keepLines w:val="0"/>
        <w:pageBreakBefore w:val="0"/>
        <w:widowControl w:val="0"/>
        <w:kinsoku/>
        <w:wordWrap/>
        <w:overflowPunct/>
        <w:topLinePunct w:val="0"/>
        <w:autoSpaceDE/>
        <w:autoSpaceDN/>
        <w:bidi w:val="0"/>
        <w:adjustRightInd/>
        <w:snapToGrid/>
        <w:spacing w:line="360" w:lineRule="auto"/>
        <w:ind w:firstLine="2880" w:firstLineChars="9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2"/>
          <w:sz w:val="32"/>
          <w:szCs w:val="22"/>
          <w:lang w:val="en-US" w:eastAsia="zh-CN" w:bidi="ar-SA"/>
        </w:rPr>
        <w:t>戚  英  区应急管理局局长</w:t>
      </w:r>
    </w:p>
    <w:p>
      <w:pPr>
        <w:keepNext w:val="0"/>
        <w:keepLines w:val="0"/>
        <w:pageBreakBefore w:val="0"/>
        <w:widowControl w:val="0"/>
        <w:kinsoku/>
        <w:wordWrap/>
        <w:overflowPunct/>
        <w:topLinePunct w:val="0"/>
        <w:autoSpaceDE/>
        <w:autoSpaceDN/>
        <w:bidi w:val="0"/>
        <w:adjustRightInd/>
        <w:snapToGrid/>
        <w:spacing w:line="360" w:lineRule="auto"/>
        <w:ind w:firstLine="2880" w:firstLineChars="900"/>
        <w:textAlignment w:val="auto"/>
        <w:rPr>
          <w:rFonts w:hint="default" w:ascii="仿宋_GB2312" w:hAnsi="仿宋_GB2312" w:eastAsia="仿宋_GB2312" w:cs="仿宋_GB2312"/>
          <w:color w:val="auto"/>
          <w:kern w:val="2"/>
          <w:sz w:val="32"/>
          <w:szCs w:val="22"/>
          <w:lang w:val="en-US" w:eastAsia="zh-CN" w:bidi="ar-SA"/>
        </w:rPr>
      </w:pPr>
      <w:r>
        <w:rPr>
          <w:rFonts w:hint="eastAsia" w:ascii="仿宋_GB2312" w:hAnsi="仿宋_GB2312" w:eastAsia="仿宋_GB2312" w:cs="仿宋_GB2312"/>
          <w:color w:val="auto"/>
          <w:kern w:val="2"/>
          <w:sz w:val="32"/>
          <w:szCs w:val="22"/>
          <w:lang w:val="en-US" w:eastAsia="zh-CN" w:bidi="ar-SA"/>
        </w:rPr>
        <w:t>张计标  古路板管理站负责人</w:t>
      </w:r>
    </w:p>
    <w:p>
      <w:pPr>
        <w:keepNext w:val="0"/>
        <w:keepLines w:val="0"/>
        <w:pageBreakBefore w:val="0"/>
        <w:widowControl w:val="0"/>
        <w:kinsoku/>
        <w:wordWrap/>
        <w:overflowPunct/>
        <w:topLinePunct w:val="0"/>
        <w:autoSpaceDE/>
        <w:autoSpaceDN/>
        <w:bidi w:val="0"/>
        <w:adjustRightInd/>
        <w:snapToGrid/>
        <w:spacing w:line="360" w:lineRule="auto"/>
        <w:ind w:firstLine="2880" w:firstLineChars="900"/>
        <w:textAlignment w:val="auto"/>
        <w:rPr>
          <w:rFonts w:hint="eastAsia" w:ascii="仿宋_GB2312" w:hAnsi="仿宋_GB2312" w:eastAsia="仿宋_GB2312" w:cs="仿宋_GB2312"/>
          <w:color w:val="auto"/>
          <w:kern w:val="2"/>
          <w:sz w:val="32"/>
          <w:szCs w:val="22"/>
          <w:lang w:val="en-US" w:eastAsia="zh-CN" w:bidi="ar-SA"/>
        </w:rPr>
      </w:pPr>
      <w:r>
        <w:rPr>
          <w:rFonts w:hint="eastAsia" w:ascii="仿宋_GB2312" w:hAnsi="仿宋_GB2312" w:eastAsia="仿宋_GB2312" w:cs="仿宋_GB2312"/>
          <w:color w:val="auto"/>
          <w:kern w:val="2"/>
          <w:sz w:val="32"/>
          <w:szCs w:val="22"/>
          <w:lang w:val="en-US" w:eastAsia="zh-CN" w:bidi="ar-SA"/>
        </w:rPr>
        <w:t>李世珍  区林业和草原分局局长</w:t>
      </w:r>
    </w:p>
    <w:p>
      <w:pPr>
        <w:keepNext w:val="0"/>
        <w:keepLines w:val="0"/>
        <w:pageBreakBefore w:val="0"/>
        <w:widowControl w:val="0"/>
        <w:kinsoku/>
        <w:wordWrap/>
        <w:overflowPunct/>
        <w:topLinePunct w:val="0"/>
        <w:autoSpaceDE/>
        <w:autoSpaceDN/>
        <w:bidi w:val="0"/>
        <w:adjustRightInd/>
        <w:snapToGrid/>
        <w:spacing w:line="360" w:lineRule="auto"/>
        <w:ind w:firstLine="2880" w:firstLineChars="900"/>
        <w:textAlignment w:val="auto"/>
        <w:rPr>
          <w:rFonts w:hint="eastAsia" w:ascii="仿宋_GB2312" w:hAnsi="仿宋_GB2312" w:eastAsia="仿宋_GB2312" w:cs="仿宋_GB2312"/>
          <w:color w:val="auto"/>
          <w:kern w:val="2"/>
          <w:sz w:val="32"/>
          <w:szCs w:val="22"/>
          <w:lang w:val="en-US" w:eastAsia="zh-CN" w:bidi="ar-SA"/>
        </w:rPr>
      </w:pPr>
      <w:r>
        <w:rPr>
          <w:rFonts w:hint="eastAsia" w:ascii="仿宋_GB2312" w:hAnsi="仿宋_GB2312" w:eastAsia="仿宋_GB2312" w:cs="仿宋_GB2312"/>
          <w:color w:val="auto"/>
          <w:kern w:val="2"/>
          <w:sz w:val="32"/>
          <w:szCs w:val="22"/>
          <w:lang w:val="en-US" w:eastAsia="zh-CN" w:bidi="ar-SA"/>
        </w:rPr>
        <w:t>白俊明  区气象分局局长</w:t>
      </w:r>
    </w:p>
    <w:p>
      <w:pPr>
        <w:keepNext w:val="0"/>
        <w:keepLines w:val="0"/>
        <w:pageBreakBefore w:val="0"/>
        <w:widowControl w:val="0"/>
        <w:kinsoku/>
        <w:wordWrap/>
        <w:overflowPunct/>
        <w:topLinePunct w:val="0"/>
        <w:autoSpaceDE/>
        <w:autoSpaceDN/>
        <w:bidi w:val="0"/>
        <w:adjustRightInd/>
        <w:snapToGrid/>
        <w:spacing w:line="360" w:lineRule="auto"/>
        <w:ind w:firstLine="2880" w:firstLineChars="900"/>
        <w:textAlignment w:val="auto"/>
        <w:rPr>
          <w:rFonts w:hint="eastAsia" w:ascii="仿宋_GB2312" w:hAnsi="仿宋_GB2312" w:eastAsia="仿宋_GB2312" w:cs="仿宋_GB2312"/>
          <w:color w:val="auto"/>
          <w:kern w:val="2"/>
          <w:sz w:val="32"/>
          <w:szCs w:val="22"/>
          <w:lang w:val="en-US" w:eastAsia="zh-CN" w:bidi="ar-SA"/>
        </w:rPr>
      </w:pPr>
      <w:r>
        <w:rPr>
          <w:rFonts w:hint="eastAsia" w:ascii="仿宋_GB2312" w:hAnsi="仿宋_GB2312" w:eastAsia="仿宋_GB2312" w:cs="仿宋_GB2312"/>
          <w:color w:val="auto"/>
          <w:kern w:val="2"/>
          <w:sz w:val="32"/>
          <w:szCs w:val="22"/>
          <w:lang w:val="en-US" w:eastAsia="zh-CN" w:bidi="ar-SA"/>
        </w:rPr>
        <w:t>云柏瑞  公安分局副局长</w:t>
      </w:r>
    </w:p>
    <w:p>
      <w:pPr>
        <w:keepNext w:val="0"/>
        <w:keepLines w:val="0"/>
        <w:pageBreakBefore w:val="0"/>
        <w:widowControl w:val="0"/>
        <w:kinsoku/>
        <w:wordWrap/>
        <w:overflowPunct/>
        <w:topLinePunct w:val="0"/>
        <w:autoSpaceDE/>
        <w:autoSpaceDN/>
        <w:bidi w:val="0"/>
        <w:adjustRightInd/>
        <w:snapToGrid/>
        <w:spacing w:line="360" w:lineRule="auto"/>
        <w:ind w:firstLine="2880" w:firstLineChars="900"/>
        <w:textAlignment w:val="auto"/>
        <w:rPr>
          <w:rFonts w:hint="eastAsia" w:ascii="仿宋_GB2312" w:hAnsi="仿宋_GB2312" w:eastAsia="仿宋_GB2312" w:cs="仿宋_GB2312"/>
          <w:color w:val="auto"/>
          <w:kern w:val="2"/>
          <w:sz w:val="32"/>
          <w:szCs w:val="22"/>
          <w:lang w:val="en-US" w:eastAsia="zh-CN" w:bidi="ar-SA"/>
        </w:rPr>
      </w:pPr>
      <w:r>
        <w:rPr>
          <w:rFonts w:hint="eastAsia" w:ascii="仿宋_GB2312" w:hAnsi="仿宋_GB2312" w:eastAsia="仿宋_GB2312" w:cs="仿宋_GB2312"/>
          <w:color w:val="auto"/>
          <w:kern w:val="2"/>
          <w:sz w:val="32"/>
          <w:szCs w:val="22"/>
          <w:lang w:val="en-US" w:eastAsia="zh-CN" w:bidi="ar-SA"/>
        </w:rPr>
        <w:t>季  勇  自然资源分局局长</w:t>
      </w:r>
    </w:p>
    <w:p>
      <w:pPr>
        <w:keepNext w:val="0"/>
        <w:keepLines w:val="0"/>
        <w:pageBreakBefore w:val="0"/>
        <w:widowControl w:val="0"/>
        <w:kinsoku/>
        <w:wordWrap/>
        <w:overflowPunct/>
        <w:topLinePunct w:val="0"/>
        <w:autoSpaceDE/>
        <w:autoSpaceDN/>
        <w:bidi w:val="0"/>
        <w:adjustRightInd/>
        <w:snapToGrid/>
        <w:spacing w:line="360" w:lineRule="auto"/>
        <w:ind w:firstLine="2880" w:firstLineChars="900"/>
        <w:textAlignment w:val="auto"/>
        <w:rPr>
          <w:rFonts w:hint="eastAsia" w:ascii="仿宋_GB2312" w:hAnsi="仿宋_GB2312" w:eastAsia="仿宋_GB2312" w:cs="仿宋_GB2312"/>
          <w:color w:val="auto"/>
          <w:kern w:val="2"/>
          <w:sz w:val="32"/>
          <w:szCs w:val="22"/>
          <w:lang w:val="en-US" w:eastAsia="zh-CN" w:bidi="ar-SA"/>
        </w:rPr>
      </w:pPr>
      <w:r>
        <w:rPr>
          <w:rFonts w:hint="eastAsia" w:ascii="仿宋_GB2312" w:hAnsi="仿宋_GB2312" w:eastAsia="仿宋_GB2312" w:cs="仿宋_GB2312"/>
          <w:color w:val="auto"/>
          <w:kern w:val="2"/>
          <w:sz w:val="32"/>
          <w:szCs w:val="22"/>
          <w:lang w:val="en-US" w:eastAsia="zh-CN" w:bidi="ar-SA"/>
        </w:rPr>
        <w:t>张  辉  区交管大队大队长</w:t>
      </w:r>
    </w:p>
    <w:p>
      <w:pPr>
        <w:keepNext w:val="0"/>
        <w:keepLines w:val="0"/>
        <w:pageBreakBefore w:val="0"/>
        <w:widowControl w:val="0"/>
        <w:kinsoku/>
        <w:wordWrap/>
        <w:overflowPunct/>
        <w:topLinePunct w:val="0"/>
        <w:autoSpaceDE/>
        <w:autoSpaceDN/>
        <w:bidi w:val="0"/>
        <w:adjustRightInd/>
        <w:snapToGrid/>
        <w:spacing w:line="360" w:lineRule="auto"/>
        <w:ind w:firstLine="2880" w:firstLineChars="900"/>
        <w:textAlignment w:val="auto"/>
        <w:rPr>
          <w:rFonts w:hint="eastAsia" w:ascii="仿宋_GB2312" w:hAnsi="仿宋_GB2312" w:eastAsia="仿宋_GB2312" w:cs="仿宋_GB2312"/>
          <w:color w:val="auto"/>
          <w:kern w:val="2"/>
          <w:sz w:val="32"/>
          <w:szCs w:val="22"/>
          <w:lang w:val="en-US" w:eastAsia="zh-CN" w:bidi="ar-SA"/>
        </w:rPr>
      </w:pPr>
      <w:r>
        <w:rPr>
          <w:rFonts w:hint="eastAsia" w:ascii="仿宋_GB2312" w:hAnsi="仿宋_GB2312" w:eastAsia="仿宋_GB2312" w:cs="仿宋_GB2312"/>
          <w:color w:val="auto"/>
          <w:kern w:val="2"/>
          <w:sz w:val="32"/>
          <w:szCs w:val="22"/>
          <w:lang w:val="en-US" w:eastAsia="zh-CN" w:bidi="ar-SA"/>
        </w:rPr>
        <w:t>孙际峰  区消防大队大队长</w:t>
      </w:r>
    </w:p>
    <w:p>
      <w:pPr>
        <w:keepNext w:val="0"/>
        <w:keepLines w:val="0"/>
        <w:pageBreakBefore w:val="0"/>
        <w:widowControl w:val="0"/>
        <w:kinsoku/>
        <w:wordWrap/>
        <w:overflowPunct/>
        <w:topLinePunct w:val="0"/>
        <w:autoSpaceDE/>
        <w:autoSpaceDN/>
        <w:bidi w:val="0"/>
        <w:adjustRightInd/>
        <w:snapToGrid/>
        <w:spacing w:line="360" w:lineRule="auto"/>
        <w:ind w:firstLine="2880" w:firstLineChars="900"/>
        <w:textAlignment w:val="auto"/>
        <w:rPr>
          <w:rFonts w:hint="eastAsia" w:ascii="仿宋_GB2312" w:hAnsi="仿宋_GB2312" w:eastAsia="仿宋_GB2312" w:cs="仿宋_GB2312"/>
          <w:color w:val="auto"/>
          <w:kern w:val="2"/>
          <w:sz w:val="32"/>
          <w:szCs w:val="22"/>
          <w:lang w:val="en-US" w:eastAsia="zh-CN" w:bidi="ar-SA"/>
        </w:rPr>
      </w:pPr>
      <w:r>
        <w:rPr>
          <w:rFonts w:hint="eastAsia" w:ascii="仿宋_GB2312" w:hAnsi="仿宋_GB2312" w:eastAsia="仿宋_GB2312" w:cs="仿宋_GB2312"/>
          <w:color w:val="auto"/>
          <w:kern w:val="2"/>
          <w:sz w:val="32"/>
          <w:szCs w:val="22"/>
          <w:lang w:val="en-US" w:eastAsia="zh-CN" w:bidi="ar-SA"/>
        </w:rPr>
        <w:t>任真平  区住房和城乡建设局局长</w:t>
      </w:r>
    </w:p>
    <w:p>
      <w:pPr>
        <w:keepNext w:val="0"/>
        <w:keepLines w:val="0"/>
        <w:pageBreakBefore w:val="0"/>
        <w:widowControl w:val="0"/>
        <w:kinsoku/>
        <w:wordWrap/>
        <w:overflowPunct/>
        <w:topLinePunct w:val="0"/>
        <w:autoSpaceDE/>
        <w:autoSpaceDN/>
        <w:bidi w:val="0"/>
        <w:adjustRightInd/>
        <w:snapToGrid/>
        <w:spacing w:line="360" w:lineRule="auto"/>
        <w:ind w:firstLine="2880" w:firstLineChars="900"/>
        <w:textAlignment w:val="auto"/>
        <w:rPr>
          <w:rFonts w:hint="eastAsia" w:ascii="仿宋_GB2312" w:hAnsi="仿宋_GB2312" w:eastAsia="仿宋_GB2312" w:cs="仿宋_GB2312"/>
          <w:color w:val="auto"/>
          <w:kern w:val="2"/>
          <w:sz w:val="32"/>
          <w:szCs w:val="22"/>
          <w:lang w:val="en-US" w:eastAsia="zh-CN" w:bidi="ar-SA"/>
        </w:rPr>
      </w:pPr>
      <w:r>
        <w:rPr>
          <w:rFonts w:hint="eastAsia" w:ascii="仿宋_GB2312" w:hAnsi="仿宋_GB2312" w:eastAsia="仿宋_GB2312" w:cs="仿宋_GB2312"/>
          <w:color w:val="auto"/>
          <w:kern w:val="2"/>
          <w:sz w:val="32"/>
          <w:szCs w:val="22"/>
          <w:lang w:val="en-US" w:eastAsia="zh-CN" w:bidi="ar-SA"/>
        </w:rPr>
        <w:t>乔国彪  区农牧水利局局长</w:t>
      </w:r>
    </w:p>
    <w:p>
      <w:pPr>
        <w:keepNext w:val="0"/>
        <w:keepLines w:val="0"/>
        <w:pageBreakBefore w:val="0"/>
        <w:widowControl w:val="0"/>
        <w:kinsoku/>
        <w:wordWrap/>
        <w:overflowPunct/>
        <w:topLinePunct w:val="0"/>
        <w:autoSpaceDE/>
        <w:autoSpaceDN/>
        <w:bidi w:val="0"/>
        <w:adjustRightInd/>
        <w:snapToGrid/>
        <w:spacing w:line="360" w:lineRule="auto"/>
        <w:ind w:firstLine="2880" w:firstLineChars="900"/>
        <w:textAlignment w:val="auto"/>
        <w:rPr>
          <w:rFonts w:hint="eastAsia" w:ascii="仿宋_GB2312" w:hAnsi="仿宋_GB2312" w:eastAsia="仿宋_GB2312" w:cs="仿宋_GB2312"/>
          <w:color w:val="auto"/>
          <w:kern w:val="2"/>
          <w:sz w:val="32"/>
          <w:szCs w:val="22"/>
          <w:lang w:val="en-US" w:eastAsia="zh-CN" w:bidi="ar-SA"/>
        </w:rPr>
      </w:pPr>
      <w:r>
        <w:rPr>
          <w:rFonts w:hint="eastAsia" w:ascii="仿宋_GB2312" w:hAnsi="仿宋_GB2312" w:eastAsia="仿宋_GB2312" w:cs="仿宋_GB2312"/>
          <w:color w:val="auto"/>
          <w:kern w:val="2"/>
          <w:sz w:val="32"/>
          <w:szCs w:val="22"/>
          <w:lang w:val="en-US" w:eastAsia="zh-CN" w:bidi="ar-SA"/>
        </w:rPr>
        <w:t>季利民  区发展和改革委员会主任</w:t>
      </w:r>
    </w:p>
    <w:p>
      <w:pPr>
        <w:keepNext w:val="0"/>
        <w:keepLines w:val="0"/>
        <w:pageBreakBefore w:val="0"/>
        <w:widowControl w:val="0"/>
        <w:kinsoku/>
        <w:wordWrap/>
        <w:overflowPunct/>
        <w:topLinePunct w:val="0"/>
        <w:autoSpaceDE/>
        <w:autoSpaceDN/>
        <w:bidi w:val="0"/>
        <w:adjustRightInd/>
        <w:snapToGrid/>
        <w:spacing w:line="360" w:lineRule="auto"/>
        <w:ind w:firstLine="2880" w:firstLineChars="900"/>
        <w:textAlignment w:val="auto"/>
        <w:rPr>
          <w:rFonts w:hint="eastAsia" w:ascii="仿宋_GB2312" w:hAnsi="仿宋_GB2312" w:eastAsia="仿宋_GB2312" w:cs="仿宋_GB2312"/>
          <w:color w:val="auto"/>
          <w:kern w:val="2"/>
          <w:sz w:val="32"/>
          <w:szCs w:val="22"/>
          <w:lang w:val="en-US" w:eastAsia="zh-CN" w:bidi="ar-SA"/>
        </w:rPr>
      </w:pPr>
      <w:r>
        <w:rPr>
          <w:rFonts w:hint="eastAsia" w:ascii="仿宋_GB2312" w:hAnsi="仿宋_GB2312" w:eastAsia="仿宋_GB2312" w:cs="仿宋_GB2312"/>
          <w:color w:val="auto"/>
          <w:kern w:val="2"/>
          <w:sz w:val="32"/>
          <w:szCs w:val="22"/>
          <w:lang w:val="en-US" w:eastAsia="zh-CN" w:bidi="ar-SA"/>
        </w:rPr>
        <w:t>黄咏梅  区教育局局长</w:t>
      </w:r>
    </w:p>
    <w:p>
      <w:pPr>
        <w:keepNext w:val="0"/>
        <w:keepLines w:val="0"/>
        <w:pageBreakBefore w:val="0"/>
        <w:widowControl w:val="0"/>
        <w:kinsoku/>
        <w:wordWrap/>
        <w:overflowPunct/>
        <w:topLinePunct w:val="0"/>
        <w:autoSpaceDE/>
        <w:autoSpaceDN/>
        <w:bidi w:val="0"/>
        <w:adjustRightInd/>
        <w:snapToGrid/>
        <w:spacing w:line="360" w:lineRule="auto"/>
        <w:ind w:firstLine="2880" w:firstLineChars="900"/>
        <w:textAlignment w:val="auto"/>
        <w:rPr>
          <w:rFonts w:hint="eastAsia" w:ascii="仿宋_GB2312" w:hAnsi="仿宋_GB2312" w:eastAsia="仿宋_GB2312" w:cs="仿宋_GB2312"/>
          <w:color w:val="auto"/>
          <w:kern w:val="2"/>
          <w:sz w:val="32"/>
          <w:szCs w:val="22"/>
          <w:lang w:val="en-US" w:eastAsia="zh-CN" w:bidi="ar-SA"/>
        </w:rPr>
      </w:pPr>
      <w:r>
        <w:rPr>
          <w:rFonts w:hint="eastAsia" w:ascii="仿宋_GB2312" w:hAnsi="仿宋_GB2312" w:eastAsia="仿宋_GB2312" w:cs="仿宋_GB2312"/>
          <w:color w:val="auto"/>
          <w:kern w:val="2"/>
          <w:sz w:val="32"/>
          <w:szCs w:val="22"/>
          <w:lang w:val="en-US" w:eastAsia="zh-CN" w:bidi="ar-SA"/>
        </w:rPr>
        <w:t>云  智  区工业和信息化局局长</w:t>
      </w:r>
    </w:p>
    <w:p>
      <w:pPr>
        <w:keepNext w:val="0"/>
        <w:keepLines w:val="0"/>
        <w:pageBreakBefore w:val="0"/>
        <w:widowControl w:val="0"/>
        <w:kinsoku/>
        <w:wordWrap/>
        <w:overflowPunct/>
        <w:topLinePunct w:val="0"/>
        <w:autoSpaceDE/>
        <w:autoSpaceDN/>
        <w:bidi w:val="0"/>
        <w:adjustRightInd/>
        <w:snapToGrid/>
        <w:spacing w:line="360" w:lineRule="auto"/>
        <w:ind w:firstLine="2880" w:firstLineChars="900"/>
        <w:textAlignment w:val="auto"/>
        <w:rPr>
          <w:rFonts w:hint="eastAsia" w:ascii="仿宋_GB2312" w:hAnsi="仿宋_GB2312" w:eastAsia="仿宋_GB2312" w:cs="仿宋_GB2312"/>
          <w:color w:val="auto"/>
          <w:kern w:val="2"/>
          <w:sz w:val="32"/>
          <w:szCs w:val="22"/>
          <w:lang w:val="en-US" w:eastAsia="zh-CN" w:bidi="ar-SA"/>
        </w:rPr>
      </w:pPr>
      <w:r>
        <w:rPr>
          <w:rFonts w:hint="eastAsia" w:ascii="仿宋_GB2312" w:hAnsi="仿宋_GB2312" w:eastAsia="仿宋_GB2312" w:cs="仿宋_GB2312"/>
          <w:color w:val="auto"/>
          <w:kern w:val="2"/>
          <w:sz w:val="32"/>
          <w:szCs w:val="22"/>
          <w:lang w:val="en-US" w:eastAsia="zh-CN" w:bidi="ar-SA"/>
        </w:rPr>
        <w:t>戈二平  区民政局局长</w:t>
      </w:r>
    </w:p>
    <w:p>
      <w:pPr>
        <w:keepNext w:val="0"/>
        <w:keepLines w:val="0"/>
        <w:pageBreakBefore w:val="0"/>
        <w:widowControl w:val="0"/>
        <w:kinsoku/>
        <w:wordWrap/>
        <w:overflowPunct/>
        <w:topLinePunct w:val="0"/>
        <w:autoSpaceDE/>
        <w:autoSpaceDN/>
        <w:bidi w:val="0"/>
        <w:adjustRightInd/>
        <w:snapToGrid/>
        <w:spacing w:line="360" w:lineRule="auto"/>
        <w:ind w:firstLine="2880" w:firstLineChars="900"/>
        <w:textAlignment w:val="auto"/>
        <w:rPr>
          <w:rFonts w:hint="eastAsia" w:ascii="仿宋_GB2312" w:hAnsi="仿宋_GB2312" w:eastAsia="仿宋_GB2312" w:cs="仿宋_GB2312"/>
          <w:color w:val="auto"/>
          <w:kern w:val="2"/>
          <w:sz w:val="32"/>
          <w:szCs w:val="22"/>
          <w:lang w:val="en-US" w:eastAsia="zh-CN" w:bidi="ar-SA"/>
        </w:rPr>
      </w:pPr>
      <w:r>
        <w:rPr>
          <w:rFonts w:hint="eastAsia" w:ascii="仿宋_GB2312" w:hAnsi="仿宋_GB2312" w:eastAsia="仿宋_GB2312" w:cs="仿宋_GB2312"/>
          <w:color w:val="auto"/>
          <w:kern w:val="2"/>
          <w:sz w:val="32"/>
          <w:szCs w:val="22"/>
          <w:lang w:val="en-US" w:eastAsia="zh-CN" w:bidi="ar-SA"/>
        </w:rPr>
        <w:t>王美君  区财政局局长</w:t>
      </w:r>
    </w:p>
    <w:p>
      <w:pPr>
        <w:keepNext w:val="0"/>
        <w:keepLines w:val="0"/>
        <w:pageBreakBefore w:val="0"/>
        <w:widowControl w:val="0"/>
        <w:kinsoku/>
        <w:wordWrap/>
        <w:overflowPunct/>
        <w:topLinePunct w:val="0"/>
        <w:autoSpaceDE/>
        <w:autoSpaceDN/>
        <w:bidi w:val="0"/>
        <w:adjustRightInd/>
        <w:snapToGrid/>
        <w:spacing w:line="360" w:lineRule="auto"/>
        <w:ind w:firstLine="2880" w:firstLineChars="900"/>
        <w:textAlignment w:val="auto"/>
        <w:rPr>
          <w:rFonts w:hint="eastAsia" w:ascii="仿宋_GB2312" w:hAnsi="仿宋_GB2312" w:eastAsia="仿宋_GB2312" w:cs="仿宋_GB2312"/>
          <w:color w:val="auto"/>
          <w:kern w:val="2"/>
          <w:sz w:val="32"/>
          <w:szCs w:val="22"/>
          <w:lang w:val="en-US" w:eastAsia="zh-CN" w:bidi="ar-SA"/>
        </w:rPr>
      </w:pPr>
      <w:r>
        <w:rPr>
          <w:rFonts w:hint="eastAsia" w:ascii="仿宋_GB2312" w:hAnsi="仿宋_GB2312" w:eastAsia="仿宋_GB2312" w:cs="仿宋_GB2312"/>
          <w:color w:val="auto"/>
          <w:kern w:val="2"/>
          <w:sz w:val="32"/>
          <w:szCs w:val="22"/>
          <w:lang w:val="en-US" w:eastAsia="zh-CN" w:bidi="ar-SA"/>
        </w:rPr>
        <w:t>兰建军  区文化旅游广电局局长</w:t>
      </w:r>
    </w:p>
    <w:p>
      <w:pPr>
        <w:keepNext w:val="0"/>
        <w:keepLines w:val="0"/>
        <w:pageBreakBefore w:val="0"/>
        <w:widowControl w:val="0"/>
        <w:kinsoku/>
        <w:wordWrap/>
        <w:overflowPunct/>
        <w:topLinePunct w:val="0"/>
        <w:autoSpaceDE/>
        <w:autoSpaceDN/>
        <w:bidi w:val="0"/>
        <w:adjustRightInd/>
        <w:snapToGrid/>
        <w:spacing w:line="360" w:lineRule="auto"/>
        <w:ind w:firstLine="2880" w:firstLineChars="900"/>
        <w:textAlignment w:val="auto"/>
        <w:rPr>
          <w:rFonts w:hint="eastAsia" w:ascii="仿宋_GB2312" w:hAnsi="仿宋_GB2312" w:eastAsia="仿宋_GB2312" w:cs="仿宋_GB2312"/>
          <w:color w:val="auto"/>
          <w:kern w:val="2"/>
          <w:sz w:val="32"/>
          <w:szCs w:val="22"/>
          <w:lang w:val="en-US" w:eastAsia="zh-CN" w:bidi="ar-SA"/>
        </w:rPr>
      </w:pPr>
      <w:r>
        <w:rPr>
          <w:rFonts w:hint="eastAsia" w:ascii="仿宋_GB2312" w:hAnsi="仿宋_GB2312" w:eastAsia="仿宋_GB2312" w:cs="仿宋_GB2312"/>
          <w:color w:val="auto"/>
          <w:kern w:val="2"/>
          <w:sz w:val="32"/>
          <w:szCs w:val="22"/>
          <w:lang w:val="en-US" w:eastAsia="zh-CN" w:bidi="ar-SA"/>
        </w:rPr>
        <w:t>胡  燕  区卫生健康委员会主任</w:t>
      </w:r>
    </w:p>
    <w:p>
      <w:pPr>
        <w:keepNext w:val="0"/>
        <w:keepLines w:val="0"/>
        <w:pageBreakBefore w:val="0"/>
        <w:widowControl w:val="0"/>
        <w:kinsoku/>
        <w:wordWrap/>
        <w:overflowPunct/>
        <w:topLinePunct w:val="0"/>
        <w:autoSpaceDE/>
        <w:autoSpaceDN/>
        <w:bidi w:val="0"/>
        <w:adjustRightInd/>
        <w:snapToGrid/>
        <w:spacing w:line="360" w:lineRule="auto"/>
        <w:ind w:firstLine="2880" w:firstLineChars="900"/>
        <w:textAlignment w:val="auto"/>
        <w:rPr>
          <w:rFonts w:hint="default" w:ascii="仿宋_GB2312" w:hAnsi="仿宋_GB2312" w:eastAsia="仿宋_GB2312" w:cs="仿宋_GB2312"/>
          <w:color w:val="auto"/>
          <w:kern w:val="2"/>
          <w:sz w:val="32"/>
          <w:szCs w:val="22"/>
          <w:lang w:val="en-US" w:eastAsia="zh-CN" w:bidi="ar-SA"/>
        </w:rPr>
      </w:pPr>
      <w:r>
        <w:rPr>
          <w:rFonts w:hint="eastAsia" w:ascii="仿宋_GB2312" w:hAnsi="仿宋_GB2312" w:eastAsia="仿宋_GB2312" w:cs="仿宋_GB2312"/>
          <w:color w:val="auto"/>
          <w:kern w:val="2"/>
          <w:sz w:val="32"/>
          <w:szCs w:val="22"/>
          <w:lang w:val="en-US" w:eastAsia="zh-CN" w:bidi="ar-SA"/>
        </w:rPr>
        <w:t>王国华  区城市管理综合执法局局长</w:t>
      </w:r>
    </w:p>
    <w:p>
      <w:pPr>
        <w:keepNext w:val="0"/>
        <w:keepLines w:val="0"/>
        <w:pageBreakBefore w:val="0"/>
        <w:widowControl w:val="0"/>
        <w:kinsoku/>
        <w:wordWrap/>
        <w:overflowPunct/>
        <w:topLinePunct w:val="0"/>
        <w:autoSpaceDE/>
        <w:autoSpaceDN/>
        <w:bidi w:val="0"/>
        <w:adjustRightInd/>
        <w:snapToGrid/>
        <w:spacing w:line="360" w:lineRule="auto"/>
        <w:ind w:firstLine="2880" w:firstLineChars="900"/>
        <w:textAlignment w:val="auto"/>
        <w:rPr>
          <w:rFonts w:hint="eastAsia" w:ascii="仿宋_GB2312" w:hAnsi="仿宋_GB2312" w:eastAsia="仿宋_GB2312" w:cs="仿宋_GB2312"/>
          <w:color w:val="auto"/>
          <w:kern w:val="2"/>
          <w:sz w:val="32"/>
          <w:szCs w:val="22"/>
          <w:lang w:val="en-US" w:eastAsia="zh-CN" w:bidi="ar-SA"/>
        </w:rPr>
      </w:pPr>
      <w:r>
        <w:rPr>
          <w:rFonts w:hint="eastAsia" w:ascii="仿宋_GB2312" w:hAnsi="仿宋_GB2312" w:eastAsia="仿宋_GB2312" w:cs="仿宋_GB2312"/>
          <w:color w:val="auto"/>
          <w:kern w:val="2"/>
          <w:sz w:val="32"/>
          <w:szCs w:val="22"/>
          <w:lang w:val="en-US" w:eastAsia="zh-CN" w:bidi="ar-SA"/>
        </w:rPr>
        <w:t>邸海龙  保合少镇党委书记</w:t>
      </w:r>
    </w:p>
    <w:p>
      <w:pPr>
        <w:keepNext w:val="0"/>
        <w:keepLines w:val="0"/>
        <w:pageBreakBefore w:val="0"/>
        <w:widowControl w:val="0"/>
        <w:kinsoku/>
        <w:wordWrap/>
        <w:overflowPunct/>
        <w:topLinePunct w:val="0"/>
        <w:autoSpaceDE/>
        <w:autoSpaceDN/>
        <w:bidi w:val="0"/>
        <w:adjustRightInd/>
        <w:snapToGrid/>
        <w:spacing w:line="360" w:lineRule="auto"/>
        <w:ind w:left="4153" w:leftChars="1368" w:hanging="1280" w:hangingChars="400"/>
        <w:jc w:val="left"/>
        <w:textAlignment w:val="auto"/>
        <w:rPr>
          <w:rFonts w:hint="default"/>
          <w:color w:val="auto"/>
          <w:lang w:val="en-US"/>
        </w:rPr>
      </w:pPr>
      <w:r>
        <w:rPr>
          <w:rFonts w:hint="eastAsia" w:ascii="仿宋_GB2312" w:hAnsi="仿宋_GB2312" w:eastAsia="仿宋_GB2312" w:cs="仿宋_GB2312"/>
          <w:color w:val="auto"/>
          <w:kern w:val="2"/>
          <w:sz w:val="32"/>
          <w:szCs w:val="22"/>
          <w:lang w:val="en-US" w:eastAsia="zh-CN" w:bidi="ar-SA"/>
        </w:rPr>
        <w:t>王雪冰  成吉思汗大街街道党工委书记</w:t>
      </w:r>
    </w:p>
    <w:p>
      <w:pPr>
        <w:pStyle w:val="12"/>
        <w:keepNext w:val="0"/>
        <w:keepLines w:val="0"/>
        <w:pageBreakBefore w:val="0"/>
        <w:widowControl w:val="0"/>
        <w:kinsoku/>
        <w:wordWrap/>
        <w:overflowPunct/>
        <w:topLinePunct w:val="0"/>
        <w:autoSpaceDE/>
        <w:autoSpaceDN/>
        <w:bidi w:val="0"/>
        <w:spacing w:beforeAutospacing="0" w:afterAutospacing="0" w:line="360" w:lineRule="auto"/>
        <w:ind w:firstLine="640" w:firstLineChars="200"/>
        <w:jc w:val="both"/>
        <w:textAlignment w:val="auto"/>
        <w:rPr>
          <w:rFonts w:hint="eastAsia" w:ascii="仿宋_GB2312" w:hAnsi="仿宋_GB2312" w:eastAsia="仿宋_GB2312" w:cs="仿宋_GB2312"/>
          <w:color w:val="auto"/>
          <w:kern w:val="2"/>
          <w:sz w:val="32"/>
          <w:szCs w:val="22"/>
          <w:lang w:val="en-US" w:eastAsia="zh-CN"/>
        </w:rPr>
      </w:pPr>
      <w:r>
        <w:rPr>
          <w:rFonts w:hint="eastAsia" w:ascii="仿宋_GB2312" w:hAnsi="仿宋_GB2312" w:eastAsia="仿宋_GB2312" w:cs="仿宋_GB2312"/>
          <w:color w:val="auto"/>
          <w:kern w:val="2"/>
          <w:sz w:val="32"/>
          <w:szCs w:val="22"/>
          <w:lang w:val="en-US" w:eastAsia="zh-CN"/>
        </w:rPr>
        <w:t>3.1.2 区森林草原防灭火指挥部职责</w:t>
      </w:r>
    </w:p>
    <w:p>
      <w:pPr>
        <w:pageBreakBefore w:val="0"/>
        <w:widowControl w:val="0"/>
        <w:kinsoku/>
        <w:wordWrap/>
        <w:overflowPunct/>
        <w:topLinePunct w:val="0"/>
        <w:autoSpaceDE/>
        <w:autoSpaceDN/>
        <w:bidi w:val="0"/>
        <w:spacing w:before="0" w:after="0" w:line="360" w:lineRule="auto"/>
        <w:ind w:firstLine="640" w:firstLineChars="200"/>
        <w:jc w:val="left"/>
        <w:textAlignment w:val="auto"/>
        <w:rPr>
          <w:rFonts w:hint="eastAsia" w:ascii="仿宋_GB2312" w:hAnsi="仿宋_GB2312" w:eastAsia="仿宋_GB2312" w:cs="仿宋_GB2312"/>
          <w:color w:val="auto"/>
          <w:sz w:val="32"/>
          <w:szCs w:val="32"/>
          <w:lang w:eastAsia="zh-CN"/>
        </w:rPr>
      </w:pPr>
      <w:bookmarkStart w:id="56" w:name="_Toc30771"/>
      <w:bookmarkStart w:id="57" w:name="_Toc28347"/>
      <w:bookmarkStart w:id="58" w:name="_Toc7438"/>
      <w:bookmarkStart w:id="59" w:name="_Toc3049"/>
      <w:bookmarkStart w:id="60" w:name="_Toc32102"/>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贯彻执行国家、自治区和市森林草原防灭火法律、法规、规章、政策和决策部署</w:t>
      </w:r>
      <w:bookmarkEnd w:id="56"/>
      <w:bookmarkEnd w:id="57"/>
      <w:bookmarkEnd w:id="58"/>
      <w:bookmarkEnd w:id="59"/>
      <w:bookmarkEnd w:id="60"/>
      <w:r>
        <w:rPr>
          <w:rFonts w:hint="eastAsia" w:ascii="仿宋_GB2312" w:hAnsi="仿宋_GB2312" w:eastAsia="仿宋_GB2312" w:cs="仿宋_GB2312"/>
          <w:color w:val="auto"/>
          <w:sz w:val="32"/>
          <w:szCs w:val="32"/>
          <w:lang w:eastAsia="zh-CN"/>
        </w:rPr>
        <w:t>。</w:t>
      </w:r>
    </w:p>
    <w:p>
      <w:pPr>
        <w:pageBreakBefore w:val="0"/>
        <w:widowControl w:val="0"/>
        <w:kinsoku/>
        <w:wordWrap/>
        <w:overflowPunct/>
        <w:topLinePunct w:val="0"/>
        <w:autoSpaceDE/>
        <w:autoSpaceDN/>
        <w:bidi w:val="0"/>
        <w:spacing w:before="0" w:after="0" w:line="360" w:lineRule="auto"/>
        <w:ind w:firstLine="640" w:firstLineChars="200"/>
        <w:jc w:val="left"/>
        <w:textAlignment w:val="auto"/>
        <w:rPr>
          <w:rFonts w:hint="eastAsia" w:ascii="仿宋_GB2312" w:hAnsi="仿宋_GB2312" w:eastAsia="仿宋_GB2312" w:cs="仿宋_GB2312"/>
          <w:b w:val="0"/>
          <w:bCs w:val="0"/>
          <w:color w:val="auto"/>
          <w:kern w:val="2"/>
          <w:sz w:val="32"/>
          <w:szCs w:val="32"/>
          <w:lang w:eastAsia="zh-CN"/>
        </w:rPr>
      </w:pPr>
      <w:bookmarkStart w:id="61" w:name="_Toc9533"/>
      <w:bookmarkStart w:id="62" w:name="_Toc10099"/>
      <w:bookmarkStart w:id="63" w:name="_Toc8228"/>
      <w:bookmarkStart w:id="64" w:name="_Toc1042"/>
      <w:bookmarkStart w:id="65" w:name="_Toc27516"/>
      <w:r>
        <w:rPr>
          <w:rFonts w:hint="eastAsia" w:ascii="仿宋_GB2312" w:hAnsi="仿宋_GB2312" w:eastAsia="仿宋_GB2312" w:cs="仿宋_GB2312"/>
          <w:b w:val="0"/>
          <w:bCs w:val="0"/>
          <w:color w:val="auto"/>
          <w:kern w:val="2"/>
          <w:sz w:val="32"/>
          <w:szCs w:val="32"/>
          <w:lang w:eastAsia="zh-CN"/>
        </w:rPr>
        <w:t>（</w:t>
      </w:r>
      <w:r>
        <w:rPr>
          <w:rFonts w:hint="eastAsia" w:ascii="仿宋_GB2312" w:hAnsi="仿宋_GB2312" w:eastAsia="仿宋_GB2312" w:cs="仿宋_GB2312"/>
          <w:b w:val="0"/>
          <w:bCs w:val="0"/>
          <w:color w:val="auto"/>
          <w:kern w:val="2"/>
          <w:sz w:val="32"/>
          <w:szCs w:val="32"/>
          <w:lang w:val="en-US" w:eastAsia="zh-CN"/>
        </w:rPr>
        <w:t>2</w:t>
      </w:r>
      <w:r>
        <w:rPr>
          <w:rFonts w:hint="eastAsia" w:ascii="仿宋_GB2312" w:hAnsi="仿宋_GB2312" w:eastAsia="仿宋_GB2312" w:cs="仿宋_GB2312"/>
          <w:b w:val="0"/>
          <w:bCs w:val="0"/>
          <w:color w:val="auto"/>
          <w:kern w:val="2"/>
          <w:sz w:val="32"/>
          <w:szCs w:val="32"/>
          <w:lang w:eastAsia="zh-CN"/>
        </w:rPr>
        <w:t>）</w:t>
      </w:r>
      <w:r>
        <w:rPr>
          <w:rFonts w:hint="eastAsia" w:ascii="仿宋_GB2312" w:hAnsi="仿宋_GB2312" w:eastAsia="仿宋_GB2312" w:cs="仿宋_GB2312"/>
          <w:b w:val="0"/>
          <w:bCs w:val="0"/>
          <w:color w:val="auto"/>
          <w:kern w:val="2"/>
          <w:sz w:val="32"/>
          <w:szCs w:val="32"/>
        </w:rPr>
        <w:t>落实</w:t>
      </w:r>
      <w:r>
        <w:rPr>
          <w:rFonts w:hint="eastAsia" w:ascii="仿宋_GB2312" w:hAnsi="仿宋_GB2312" w:eastAsia="仿宋_GB2312" w:cs="仿宋_GB2312"/>
          <w:b w:val="0"/>
          <w:bCs w:val="0"/>
          <w:color w:val="auto"/>
          <w:kern w:val="2"/>
          <w:sz w:val="32"/>
          <w:szCs w:val="32"/>
          <w:lang w:val="en-US" w:eastAsia="zh-CN"/>
        </w:rPr>
        <w:t>本</w:t>
      </w:r>
      <w:r>
        <w:rPr>
          <w:rFonts w:hint="eastAsia" w:ascii="仿宋_GB2312" w:hAnsi="仿宋_GB2312" w:eastAsia="仿宋_GB2312" w:cs="仿宋_GB2312"/>
          <w:b w:val="0"/>
          <w:bCs w:val="0"/>
          <w:color w:val="auto"/>
          <w:kern w:val="2"/>
          <w:sz w:val="32"/>
          <w:szCs w:val="32"/>
        </w:rPr>
        <w:t>区森林草原防灭火规划，制定年度工作计划和措施，完善火灾预防、扑救及其保障制度</w:t>
      </w:r>
      <w:bookmarkEnd w:id="61"/>
      <w:bookmarkEnd w:id="62"/>
      <w:bookmarkEnd w:id="63"/>
      <w:bookmarkEnd w:id="64"/>
      <w:bookmarkEnd w:id="65"/>
      <w:r>
        <w:rPr>
          <w:rFonts w:hint="eastAsia" w:ascii="仿宋_GB2312" w:hAnsi="仿宋_GB2312" w:eastAsia="仿宋_GB2312" w:cs="仿宋_GB2312"/>
          <w:b w:val="0"/>
          <w:bCs w:val="0"/>
          <w:color w:val="auto"/>
          <w:kern w:val="2"/>
          <w:sz w:val="32"/>
          <w:szCs w:val="32"/>
          <w:lang w:eastAsia="zh-CN"/>
        </w:rPr>
        <w:t>。</w:t>
      </w:r>
    </w:p>
    <w:p>
      <w:pPr>
        <w:pageBreakBefore w:val="0"/>
        <w:widowControl w:val="0"/>
        <w:kinsoku/>
        <w:wordWrap/>
        <w:overflowPunct/>
        <w:topLinePunct w:val="0"/>
        <w:autoSpaceDE/>
        <w:autoSpaceDN/>
        <w:bidi w:val="0"/>
        <w:spacing w:before="0" w:after="0"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eastAsia="zh-CN"/>
        </w:rPr>
      </w:pPr>
      <w:bookmarkStart w:id="66" w:name="_Toc9557"/>
      <w:bookmarkStart w:id="67" w:name="_Toc21541"/>
      <w:bookmarkStart w:id="68" w:name="_Toc356"/>
      <w:bookmarkStart w:id="69" w:name="_Toc19506"/>
      <w:bookmarkStart w:id="70" w:name="_Toc25164"/>
      <w:r>
        <w:rPr>
          <w:rFonts w:hint="eastAsia" w:ascii="仿宋_GB2312" w:hAnsi="仿宋_GB2312" w:eastAsia="仿宋_GB2312" w:cs="仿宋_GB2312"/>
          <w:b w:val="0"/>
          <w:bCs w:val="0"/>
          <w:color w:val="auto"/>
          <w:kern w:val="2"/>
          <w:sz w:val="32"/>
          <w:szCs w:val="32"/>
          <w:lang w:eastAsia="zh-CN"/>
        </w:rPr>
        <w:t>（</w:t>
      </w:r>
      <w:r>
        <w:rPr>
          <w:rFonts w:hint="eastAsia" w:ascii="仿宋_GB2312" w:hAnsi="仿宋_GB2312" w:eastAsia="仿宋_GB2312" w:cs="仿宋_GB2312"/>
          <w:b w:val="0"/>
          <w:bCs w:val="0"/>
          <w:color w:val="auto"/>
          <w:kern w:val="2"/>
          <w:sz w:val="32"/>
          <w:szCs w:val="32"/>
          <w:lang w:val="en-US" w:eastAsia="zh-CN"/>
        </w:rPr>
        <w:t>3</w:t>
      </w:r>
      <w:r>
        <w:rPr>
          <w:rFonts w:hint="eastAsia" w:ascii="仿宋_GB2312" w:hAnsi="仿宋_GB2312" w:eastAsia="仿宋_GB2312" w:cs="仿宋_GB2312"/>
          <w:b w:val="0"/>
          <w:bCs w:val="0"/>
          <w:color w:val="auto"/>
          <w:kern w:val="2"/>
          <w:sz w:val="32"/>
          <w:szCs w:val="32"/>
          <w:lang w:eastAsia="zh-CN"/>
        </w:rPr>
        <w:t>）</w:t>
      </w:r>
      <w:r>
        <w:rPr>
          <w:rFonts w:hint="eastAsia" w:ascii="仿宋_GB2312" w:hAnsi="仿宋_GB2312" w:eastAsia="仿宋_GB2312" w:cs="仿宋_GB2312"/>
          <w:b w:val="0"/>
          <w:bCs w:val="0"/>
          <w:color w:val="auto"/>
          <w:kern w:val="2"/>
          <w:sz w:val="32"/>
          <w:szCs w:val="32"/>
        </w:rPr>
        <w:t>组织开展森林草原防灭火安全检查和火险隐患排查，加强野外火源管理，督促有关地区、部门和单位加强防灭火基础设施建设和防灭火物资管理</w:t>
      </w:r>
      <w:bookmarkEnd w:id="66"/>
      <w:bookmarkEnd w:id="67"/>
      <w:bookmarkEnd w:id="68"/>
      <w:bookmarkEnd w:id="69"/>
      <w:bookmarkEnd w:id="70"/>
      <w:r>
        <w:rPr>
          <w:rFonts w:hint="eastAsia" w:ascii="仿宋_GB2312" w:hAnsi="仿宋_GB2312" w:eastAsia="仿宋_GB2312" w:cs="仿宋_GB2312"/>
          <w:b w:val="0"/>
          <w:bCs w:val="0"/>
          <w:color w:val="auto"/>
          <w:kern w:val="2"/>
          <w:sz w:val="32"/>
          <w:szCs w:val="32"/>
          <w:lang w:eastAsia="zh-CN"/>
        </w:rPr>
        <w:t>。</w:t>
      </w:r>
    </w:p>
    <w:p>
      <w:pPr>
        <w:pageBreakBefore w:val="0"/>
        <w:widowControl w:val="0"/>
        <w:kinsoku/>
        <w:wordWrap/>
        <w:overflowPunct/>
        <w:topLinePunct w:val="0"/>
        <w:autoSpaceDE/>
        <w:autoSpaceDN/>
        <w:bidi w:val="0"/>
        <w:spacing w:before="0" w:after="0"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eastAsia="zh-CN"/>
        </w:rPr>
      </w:pPr>
      <w:bookmarkStart w:id="71" w:name="_Toc18030"/>
      <w:bookmarkStart w:id="72" w:name="_Toc22088"/>
      <w:bookmarkStart w:id="73" w:name="_Toc15557"/>
      <w:bookmarkStart w:id="74" w:name="_Toc28437"/>
      <w:bookmarkStart w:id="75" w:name="_Toc23891"/>
      <w:r>
        <w:rPr>
          <w:rFonts w:hint="eastAsia" w:ascii="仿宋_GB2312" w:hAnsi="仿宋_GB2312" w:eastAsia="仿宋_GB2312" w:cs="仿宋_GB2312"/>
          <w:b w:val="0"/>
          <w:bCs w:val="0"/>
          <w:color w:val="auto"/>
          <w:kern w:val="2"/>
          <w:sz w:val="32"/>
          <w:szCs w:val="32"/>
          <w:lang w:eastAsia="zh-CN"/>
        </w:rPr>
        <w:t>（</w:t>
      </w:r>
      <w:r>
        <w:rPr>
          <w:rFonts w:hint="eastAsia" w:ascii="仿宋_GB2312" w:hAnsi="仿宋_GB2312" w:eastAsia="仿宋_GB2312" w:cs="仿宋_GB2312"/>
          <w:b w:val="0"/>
          <w:bCs w:val="0"/>
          <w:color w:val="auto"/>
          <w:kern w:val="2"/>
          <w:sz w:val="32"/>
          <w:szCs w:val="32"/>
          <w:lang w:val="en-US" w:eastAsia="zh-CN"/>
        </w:rPr>
        <w:t>4</w:t>
      </w:r>
      <w:r>
        <w:rPr>
          <w:rFonts w:hint="eastAsia" w:ascii="仿宋_GB2312" w:hAnsi="仿宋_GB2312" w:eastAsia="仿宋_GB2312" w:cs="仿宋_GB2312"/>
          <w:b w:val="0"/>
          <w:bCs w:val="0"/>
          <w:color w:val="auto"/>
          <w:kern w:val="2"/>
          <w:sz w:val="32"/>
          <w:szCs w:val="32"/>
          <w:lang w:eastAsia="zh-CN"/>
        </w:rPr>
        <w:t>）</w:t>
      </w:r>
      <w:r>
        <w:rPr>
          <w:rFonts w:hint="eastAsia" w:ascii="仿宋_GB2312" w:hAnsi="仿宋_GB2312" w:eastAsia="仿宋_GB2312" w:cs="仿宋_GB2312"/>
          <w:b w:val="0"/>
          <w:bCs w:val="0"/>
          <w:color w:val="auto"/>
          <w:kern w:val="2"/>
          <w:sz w:val="32"/>
          <w:szCs w:val="32"/>
        </w:rPr>
        <w:t>指导</w:t>
      </w:r>
      <w:r>
        <w:rPr>
          <w:rFonts w:hint="eastAsia" w:ascii="仿宋_GB2312" w:hAnsi="仿宋_GB2312" w:eastAsia="仿宋_GB2312" w:cs="仿宋_GB2312"/>
          <w:b w:val="0"/>
          <w:bCs w:val="0"/>
          <w:color w:val="auto"/>
          <w:kern w:val="2"/>
          <w:sz w:val="32"/>
          <w:szCs w:val="32"/>
          <w:lang w:val="en-US" w:eastAsia="zh-CN"/>
        </w:rPr>
        <w:t>本</w:t>
      </w:r>
      <w:r>
        <w:rPr>
          <w:rFonts w:hint="eastAsia" w:ascii="仿宋_GB2312" w:hAnsi="仿宋_GB2312" w:eastAsia="仿宋_GB2312" w:cs="仿宋_GB2312"/>
          <w:b w:val="0"/>
          <w:bCs w:val="0"/>
          <w:color w:val="auto"/>
          <w:kern w:val="2"/>
          <w:sz w:val="32"/>
          <w:szCs w:val="32"/>
        </w:rPr>
        <w:t>区森林草原扑火专业队伍的建设工作，组织开展森林草原防灭火宣传教育，培训森林草原防扑火专业人员</w:t>
      </w:r>
      <w:bookmarkEnd w:id="71"/>
      <w:bookmarkEnd w:id="72"/>
      <w:bookmarkEnd w:id="73"/>
      <w:bookmarkEnd w:id="74"/>
      <w:bookmarkEnd w:id="75"/>
      <w:r>
        <w:rPr>
          <w:rFonts w:hint="eastAsia" w:ascii="仿宋_GB2312" w:hAnsi="仿宋_GB2312" w:eastAsia="仿宋_GB2312" w:cs="仿宋_GB2312"/>
          <w:b w:val="0"/>
          <w:bCs w:val="0"/>
          <w:color w:val="auto"/>
          <w:kern w:val="2"/>
          <w:sz w:val="32"/>
          <w:szCs w:val="32"/>
          <w:lang w:eastAsia="zh-CN"/>
        </w:rPr>
        <w:t>。</w:t>
      </w:r>
    </w:p>
    <w:p>
      <w:pPr>
        <w:pageBreakBefore w:val="0"/>
        <w:widowControl w:val="0"/>
        <w:kinsoku/>
        <w:wordWrap/>
        <w:overflowPunct/>
        <w:topLinePunct w:val="0"/>
        <w:autoSpaceDE/>
        <w:autoSpaceDN/>
        <w:bidi w:val="0"/>
        <w:spacing w:before="0" w:after="0"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eastAsia="zh-CN"/>
        </w:rPr>
      </w:pPr>
      <w:bookmarkStart w:id="76" w:name="_Toc10145"/>
      <w:bookmarkStart w:id="77" w:name="_Toc9836"/>
      <w:bookmarkStart w:id="78" w:name="_Toc20934"/>
      <w:bookmarkStart w:id="79" w:name="_Toc32685"/>
      <w:bookmarkStart w:id="80" w:name="_Toc28644"/>
      <w:r>
        <w:rPr>
          <w:rFonts w:hint="eastAsia" w:ascii="仿宋_GB2312" w:hAnsi="仿宋_GB2312" w:eastAsia="仿宋_GB2312" w:cs="仿宋_GB2312"/>
          <w:b w:val="0"/>
          <w:bCs w:val="0"/>
          <w:color w:val="auto"/>
          <w:kern w:val="2"/>
          <w:sz w:val="32"/>
          <w:szCs w:val="32"/>
          <w:lang w:eastAsia="zh-CN"/>
        </w:rPr>
        <w:t>（</w:t>
      </w:r>
      <w:r>
        <w:rPr>
          <w:rFonts w:hint="eastAsia" w:ascii="仿宋_GB2312" w:hAnsi="仿宋_GB2312" w:eastAsia="仿宋_GB2312" w:cs="仿宋_GB2312"/>
          <w:b w:val="0"/>
          <w:bCs w:val="0"/>
          <w:color w:val="auto"/>
          <w:kern w:val="2"/>
          <w:sz w:val="32"/>
          <w:szCs w:val="32"/>
          <w:lang w:val="en-US" w:eastAsia="zh-CN"/>
        </w:rPr>
        <w:t>5</w:t>
      </w:r>
      <w:r>
        <w:rPr>
          <w:rFonts w:hint="eastAsia" w:ascii="仿宋_GB2312" w:hAnsi="仿宋_GB2312" w:eastAsia="仿宋_GB2312" w:cs="仿宋_GB2312"/>
          <w:b w:val="0"/>
          <w:bCs w:val="0"/>
          <w:color w:val="auto"/>
          <w:kern w:val="2"/>
          <w:sz w:val="32"/>
          <w:szCs w:val="32"/>
          <w:lang w:eastAsia="zh-CN"/>
        </w:rPr>
        <w:t>）</w:t>
      </w:r>
      <w:r>
        <w:rPr>
          <w:rFonts w:hint="eastAsia" w:ascii="仿宋_GB2312" w:hAnsi="仿宋_GB2312" w:eastAsia="仿宋_GB2312" w:cs="仿宋_GB2312"/>
          <w:b w:val="0"/>
          <w:bCs w:val="0"/>
          <w:color w:val="auto"/>
          <w:kern w:val="2"/>
          <w:sz w:val="32"/>
          <w:szCs w:val="32"/>
        </w:rPr>
        <w:t>启动本级森林草原火灾应急预案，制定扑火方案，统一组织和指挥各类森林草原扑火队伍开展森林草原火灾扑救工作</w:t>
      </w:r>
      <w:bookmarkEnd w:id="76"/>
      <w:bookmarkEnd w:id="77"/>
      <w:bookmarkEnd w:id="78"/>
      <w:bookmarkEnd w:id="79"/>
      <w:bookmarkEnd w:id="80"/>
      <w:r>
        <w:rPr>
          <w:rFonts w:hint="eastAsia" w:ascii="仿宋_GB2312" w:hAnsi="仿宋_GB2312" w:eastAsia="仿宋_GB2312" w:cs="仿宋_GB2312"/>
          <w:b w:val="0"/>
          <w:bCs w:val="0"/>
          <w:color w:val="auto"/>
          <w:kern w:val="2"/>
          <w:sz w:val="32"/>
          <w:szCs w:val="32"/>
          <w:lang w:eastAsia="zh-CN"/>
        </w:rPr>
        <w:t>。</w:t>
      </w:r>
    </w:p>
    <w:p>
      <w:pPr>
        <w:pageBreakBefore w:val="0"/>
        <w:widowControl w:val="0"/>
        <w:kinsoku/>
        <w:wordWrap/>
        <w:overflowPunct/>
        <w:topLinePunct w:val="0"/>
        <w:autoSpaceDE/>
        <w:autoSpaceDN/>
        <w:bidi w:val="0"/>
        <w:spacing w:before="0" w:after="0"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eastAsia="zh-CN"/>
        </w:rPr>
      </w:pPr>
      <w:bookmarkStart w:id="81" w:name="_Toc6783"/>
      <w:bookmarkStart w:id="82" w:name="_Toc3752"/>
      <w:bookmarkStart w:id="83" w:name="_Toc24719"/>
      <w:bookmarkStart w:id="84" w:name="_Toc24727"/>
      <w:bookmarkStart w:id="85" w:name="_Toc28420"/>
      <w:r>
        <w:rPr>
          <w:rFonts w:hint="eastAsia" w:ascii="仿宋_GB2312" w:hAnsi="仿宋_GB2312" w:eastAsia="仿宋_GB2312" w:cs="仿宋_GB2312"/>
          <w:b w:val="0"/>
          <w:bCs w:val="0"/>
          <w:color w:val="auto"/>
          <w:kern w:val="2"/>
          <w:sz w:val="32"/>
          <w:szCs w:val="32"/>
          <w:lang w:val="en-US" w:eastAsia="zh-CN"/>
        </w:rPr>
        <w:t>（6）</w:t>
      </w:r>
      <w:r>
        <w:rPr>
          <w:rFonts w:hint="eastAsia" w:ascii="仿宋_GB2312" w:hAnsi="仿宋_GB2312" w:eastAsia="仿宋_GB2312" w:cs="仿宋_GB2312"/>
          <w:b w:val="0"/>
          <w:bCs w:val="0"/>
          <w:color w:val="auto"/>
          <w:kern w:val="2"/>
          <w:sz w:val="32"/>
          <w:szCs w:val="32"/>
        </w:rPr>
        <w:t>负责联系毗邻县（区）森林草原防灭火指挥部，协调处置跨区域森林草原火灾</w:t>
      </w:r>
      <w:bookmarkEnd w:id="81"/>
      <w:bookmarkEnd w:id="82"/>
      <w:bookmarkEnd w:id="83"/>
      <w:bookmarkEnd w:id="84"/>
      <w:bookmarkEnd w:id="85"/>
      <w:r>
        <w:rPr>
          <w:rFonts w:hint="eastAsia" w:ascii="仿宋_GB2312" w:hAnsi="仿宋_GB2312" w:eastAsia="仿宋_GB2312" w:cs="仿宋_GB2312"/>
          <w:b w:val="0"/>
          <w:bCs w:val="0"/>
          <w:color w:val="auto"/>
          <w:kern w:val="2"/>
          <w:sz w:val="32"/>
          <w:szCs w:val="32"/>
          <w:lang w:eastAsia="zh-CN"/>
        </w:rPr>
        <w:t>。</w:t>
      </w:r>
    </w:p>
    <w:p>
      <w:pPr>
        <w:pageBreakBefore w:val="0"/>
        <w:widowControl w:val="0"/>
        <w:kinsoku/>
        <w:wordWrap/>
        <w:overflowPunct/>
        <w:topLinePunct w:val="0"/>
        <w:autoSpaceDE/>
        <w:autoSpaceDN/>
        <w:bidi w:val="0"/>
        <w:spacing w:before="0" w:after="0"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eastAsia="zh-CN"/>
        </w:rPr>
      </w:pPr>
      <w:bookmarkStart w:id="86" w:name="_Toc8522"/>
      <w:bookmarkStart w:id="87" w:name="_Toc1078"/>
      <w:bookmarkStart w:id="88" w:name="_Toc31553"/>
      <w:bookmarkStart w:id="89" w:name="_Toc13192"/>
      <w:bookmarkStart w:id="90" w:name="_Toc26850"/>
      <w:r>
        <w:rPr>
          <w:rFonts w:hint="eastAsia" w:ascii="仿宋_GB2312" w:hAnsi="仿宋_GB2312" w:eastAsia="仿宋_GB2312" w:cs="仿宋_GB2312"/>
          <w:b w:val="0"/>
          <w:bCs w:val="0"/>
          <w:color w:val="auto"/>
          <w:kern w:val="2"/>
          <w:sz w:val="32"/>
          <w:szCs w:val="32"/>
          <w:lang w:eastAsia="zh-CN"/>
        </w:rPr>
        <w:t>（</w:t>
      </w:r>
      <w:r>
        <w:rPr>
          <w:rFonts w:hint="eastAsia" w:ascii="仿宋_GB2312" w:hAnsi="仿宋_GB2312" w:eastAsia="仿宋_GB2312" w:cs="仿宋_GB2312"/>
          <w:b w:val="0"/>
          <w:bCs w:val="0"/>
          <w:color w:val="auto"/>
          <w:kern w:val="2"/>
          <w:sz w:val="32"/>
          <w:szCs w:val="32"/>
          <w:lang w:val="en-US" w:eastAsia="zh-CN"/>
        </w:rPr>
        <w:t>7</w:t>
      </w:r>
      <w:r>
        <w:rPr>
          <w:rFonts w:hint="eastAsia" w:ascii="仿宋_GB2312" w:hAnsi="仿宋_GB2312" w:eastAsia="仿宋_GB2312" w:cs="仿宋_GB2312"/>
          <w:b w:val="0"/>
          <w:bCs w:val="0"/>
          <w:color w:val="auto"/>
          <w:kern w:val="2"/>
          <w:sz w:val="32"/>
          <w:szCs w:val="32"/>
          <w:lang w:eastAsia="zh-CN"/>
        </w:rPr>
        <w:t>）</w:t>
      </w:r>
      <w:r>
        <w:rPr>
          <w:rFonts w:hint="eastAsia" w:ascii="仿宋_GB2312" w:hAnsi="仿宋_GB2312" w:eastAsia="仿宋_GB2312" w:cs="仿宋_GB2312"/>
          <w:b w:val="0"/>
          <w:bCs w:val="0"/>
          <w:color w:val="auto"/>
          <w:kern w:val="2"/>
          <w:sz w:val="32"/>
          <w:szCs w:val="32"/>
        </w:rPr>
        <w:t>负责指导森林草原火情监测、火险预测、预报和火灾调度、统计、信息上报、建档工作等有关事项</w:t>
      </w:r>
      <w:bookmarkEnd w:id="86"/>
      <w:bookmarkEnd w:id="87"/>
      <w:bookmarkEnd w:id="88"/>
      <w:bookmarkEnd w:id="89"/>
      <w:bookmarkEnd w:id="90"/>
      <w:r>
        <w:rPr>
          <w:rFonts w:hint="eastAsia" w:ascii="仿宋_GB2312" w:hAnsi="仿宋_GB2312" w:eastAsia="仿宋_GB2312" w:cs="仿宋_GB2312"/>
          <w:b w:val="0"/>
          <w:bCs w:val="0"/>
          <w:color w:val="auto"/>
          <w:kern w:val="2"/>
          <w:sz w:val="32"/>
          <w:szCs w:val="32"/>
          <w:lang w:eastAsia="zh-CN"/>
        </w:rPr>
        <w:t>。</w:t>
      </w:r>
    </w:p>
    <w:p>
      <w:pPr>
        <w:pageBreakBefore w:val="0"/>
        <w:widowControl w:val="0"/>
        <w:kinsoku/>
        <w:wordWrap/>
        <w:overflowPunct/>
        <w:topLinePunct w:val="0"/>
        <w:autoSpaceDE/>
        <w:autoSpaceDN/>
        <w:bidi w:val="0"/>
        <w:spacing w:before="0" w:after="0"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eastAsia="zh-CN"/>
        </w:rPr>
      </w:pPr>
      <w:bookmarkStart w:id="91" w:name="_Toc21604"/>
      <w:bookmarkStart w:id="92" w:name="_Toc15781"/>
      <w:bookmarkStart w:id="93" w:name="_Toc2759"/>
      <w:bookmarkStart w:id="94" w:name="_Toc29457"/>
      <w:bookmarkStart w:id="95" w:name="_Toc32269"/>
      <w:r>
        <w:rPr>
          <w:rFonts w:hint="eastAsia" w:ascii="仿宋_GB2312" w:hAnsi="仿宋_GB2312" w:eastAsia="仿宋_GB2312" w:cs="仿宋_GB2312"/>
          <w:b w:val="0"/>
          <w:bCs w:val="0"/>
          <w:color w:val="auto"/>
          <w:kern w:val="2"/>
          <w:sz w:val="32"/>
          <w:szCs w:val="32"/>
          <w:lang w:val="en-US" w:eastAsia="zh-CN"/>
        </w:rPr>
        <w:t>（8）</w:t>
      </w:r>
      <w:r>
        <w:rPr>
          <w:rFonts w:hint="eastAsia" w:ascii="仿宋_GB2312" w:hAnsi="仿宋_GB2312" w:eastAsia="仿宋_GB2312" w:cs="仿宋_GB2312"/>
          <w:b w:val="0"/>
          <w:bCs w:val="0"/>
          <w:color w:val="auto"/>
          <w:kern w:val="2"/>
          <w:sz w:val="32"/>
          <w:szCs w:val="32"/>
        </w:rPr>
        <w:t>监督有关森林草原火灾案件的查处和责任追究</w:t>
      </w:r>
      <w:bookmarkEnd w:id="91"/>
      <w:bookmarkEnd w:id="92"/>
      <w:bookmarkEnd w:id="93"/>
      <w:bookmarkEnd w:id="94"/>
      <w:bookmarkEnd w:id="95"/>
      <w:r>
        <w:rPr>
          <w:rFonts w:hint="eastAsia" w:ascii="仿宋_GB2312" w:hAnsi="仿宋_GB2312" w:eastAsia="仿宋_GB2312" w:cs="仿宋_GB2312"/>
          <w:b w:val="0"/>
          <w:bCs w:val="0"/>
          <w:color w:val="auto"/>
          <w:kern w:val="2"/>
          <w:sz w:val="32"/>
          <w:szCs w:val="32"/>
          <w:lang w:eastAsia="zh-CN"/>
        </w:rPr>
        <w:t>。</w:t>
      </w:r>
    </w:p>
    <w:p>
      <w:pPr>
        <w:pageBreakBefore w:val="0"/>
        <w:widowControl w:val="0"/>
        <w:kinsoku/>
        <w:wordWrap/>
        <w:overflowPunct/>
        <w:topLinePunct w:val="0"/>
        <w:autoSpaceDE/>
        <w:autoSpaceDN/>
        <w:bidi w:val="0"/>
        <w:spacing w:before="0" w:after="0" w:line="360" w:lineRule="auto"/>
        <w:ind w:firstLine="640" w:firstLineChars="200"/>
        <w:jc w:val="both"/>
        <w:textAlignment w:val="auto"/>
        <w:rPr>
          <w:rFonts w:hint="eastAsia" w:ascii="仿宋_GB2312" w:hAnsi="仿宋_GB2312" w:eastAsia="仿宋_GB2312" w:cs="仿宋_GB2312"/>
          <w:b w:val="0"/>
          <w:bCs w:val="0"/>
          <w:color w:val="auto"/>
          <w:kern w:val="2"/>
          <w:sz w:val="32"/>
          <w:szCs w:val="32"/>
        </w:rPr>
      </w:pPr>
      <w:bookmarkStart w:id="96" w:name="_Toc15585"/>
      <w:bookmarkStart w:id="97" w:name="_Toc10983"/>
      <w:bookmarkStart w:id="98" w:name="_Toc32011"/>
      <w:bookmarkStart w:id="99" w:name="_Toc10703"/>
      <w:bookmarkStart w:id="100" w:name="_Toc5237"/>
      <w:r>
        <w:rPr>
          <w:rFonts w:hint="eastAsia" w:ascii="仿宋_GB2312" w:hAnsi="仿宋_GB2312" w:eastAsia="仿宋_GB2312" w:cs="仿宋_GB2312"/>
          <w:b w:val="0"/>
          <w:bCs w:val="0"/>
          <w:color w:val="auto"/>
          <w:kern w:val="2"/>
          <w:sz w:val="32"/>
          <w:szCs w:val="32"/>
          <w:lang w:val="en-US" w:eastAsia="zh-CN"/>
        </w:rPr>
        <w:t>（9）</w:t>
      </w:r>
      <w:r>
        <w:rPr>
          <w:rFonts w:hint="eastAsia" w:ascii="仿宋_GB2312" w:hAnsi="仿宋_GB2312" w:eastAsia="仿宋_GB2312" w:cs="仿宋_GB2312"/>
          <w:b w:val="0"/>
          <w:bCs w:val="0"/>
          <w:color w:val="auto"/>
          <w:kern w:val="2"/>
          <w:sz w:val="32"/>
          <w:szCs w:val="32"/>
        </w:rPr>
        <w:t>协调解决地区之间、部门之间有关森林草原防灭</w:t>
      </w:r>
      <w:r>
        <w:rPr>
          <w:rFonts w:hint="eastAsia" w:ascii="仿宋_GB2312" w:hAnsi="仿宋_GB2312" w:eastAsia="仿宋_GB2312" w:cs="仿宋_GB2312"/>
          <w:b w:val="0"/>
          <w:bCs w:val="0"/>
          <w:color w:val="auto"/>
          <w:kern w:val="2"/>
          <w:sz w:val="32"/>
          <w:szCs w:val="32"/>
          <w:lang w:eastAsia="zh-CN"/>
        </w:rPr>
        <w:t>火</w:t>
      </w:r>
      <w:r>
        <w:rPr>
          <w:rFonts w:hint="eastAsia" w:ascii="仿宋_GB2312" w:hAnsi="仿宋_GB2312" w:eastAsia="仿宋_GB2312" w:cs="仿宋_GB2312"/>
          <w:b w:val="0"/>
          <w:bCs w:val="0"/>
          <w:color w:val="auto"/>
          <w:kern w:val="2"/>
          <w:sz w:val="32"/>
          <w:szCs w:val="32"/>
        </w:rPr>
        <w:t>的重大问题，决定森林草原防灭火其他重大事项。</w:t>
      </w:r>
      <w:bookmarkEnd w:id="96"/>
      <w:bookmarkEnd w:id="97"/>
      <w:bookmarkEnd w:id="98"/>
      <w:bookmarkEnd w:id="99"/>
      <w:bookmarkEnd w:id="100"/>
    </w:p>
    <w:p>
      <w:pPr>
        <w:pageBreakBefore w:val="0"/>
        <w:widowControl w:val="0"/>
        <w:kinsoku/>
        <w:wordWrap/>
        <w:overflowPunct/>
        <w:topLinePunct w:val="0"/>
        <w:autoSpaceDE/>
        <w:autoSpaceDN/>
        <w:bidi w:val="0"/>
        <w:spacing w:before="0" w:after="0" w:line="360" w:lineRule="auto"/>
        <w:ind w:firstLine="640" w:firstLineChars="200"/>
        <w:jc w:val="both"/>
        <w:textAlignment w:val="auto"/>
        <w:rPr>
          <w:rFonts w:hint="eastAsia" w:ascii="仿宋_GB2312" w:hAnsi="仿宋_GB2312" w:eastAsia="仿宋_GB2312" w:cs="仿宋_GB2312"/>
          <w:b w:val="0"/>
          <w:bCs w:val="0"/>
          <w:color w:val="auto"/>
          <w:kern w:val="2"/>
          <w:sz w:val="32"/>
          <w:szCs w:val="32"/>
        </w:rPr>
      </w:pPr>
      <w:bookmarkStart w:id="101" w:name="_Toc17948"/>
      <w:bookmarkStart w:id="102" w:name="_Toc15168"/>
      <w:bookmarkStart w:id="103" w:name="_Toc31770"/>
      <w:bookmarkStart w:id="104" w:name="_Toc6396"/>
      <w:bookmarkStart w:id="105" w:name="_Toc388"/>
      <w:r>
        <w:rPr>
          <w:rFonts w:hint="eastAsia" w:ascii="仿宋_GB2312" w:hAnsi="仿宋_GB2312" w:eastAsia="仿宋_GB2312" w:cs="仿宋_GB2312"/>
          <w:b w:val="0"/>
          <w:bCs w:val="0"/>
          <w:color w:val="auto"/>
          <w:kern w:val="2"/>
          <w:sz w:val="32"/>
          <w:szCs w:val="32"/>
          <w:lang w:val="en-US" w:eastAsia="zh-CN"/>
        </w:rPr>
        <w:t>（10）</w:t>
      </w:r>
      <w:r>
        <w:rPr>
          <w:rFonts w:hint="eastAsia" w:ascii="仿宋_GB2312" w:hAnsi="仿宋_GB2312" w:eastAsia="仿宋_GB2312" w:cs="仿宋_GB2312"/>
          <w:b w:val="0"/>
          <w:bCs w:val="0"/>
          <w:color w:val="auto"/>
          <w:kern w:val="2"/>
          <w:sz w:val="32"/>
          <w:szCs w:val="32"/>
        </w:rPr>
        <w:t>贯彻落实区委、</w:t>
      </w:r>
      <w:r>
        <w:rPr>
          <w:rFonts w:hint="eastAsia" w:ascii="仿宋_GB2312" w:hAnsi="仿宋_GB2312" w:eastAsia="仿宋_GB2312" w:cs="仿宋_GB2312"/>
          <w:b w:val="0"/>
          <w:bCs w:val="0"/>
          <w:color w:val="auto"/>
          <w:kern w:val="2"/>
          <w:sz w:val="32"/>
          <w:szCs w:val="32"/>
          <w:lang w:val="en-US" w:eastAsia="zh-CN"/>
        </w:rPr>
        <w:t>区</w:t>
      </w:r>
      <w:r>
        <w:rPr>
          <w:rFonts w:hint="eastAsia" w:ascii="仿宋_GB2312" w:hAnsi="仿宋_GB2312" w:eastAsia="仿宋_GB2312" w:cs="仿宋_GB2312"/>
          <w:b w:val="0"/>
          <w:bCs w:val="0"/>
          <w:color w:val="auto"/>
          <w:kern w:val="2"/>
          <w:sz w:val="32"/>
          <w:szCs w:val="32"/>
        </w:rPr>
        <w:t>政府的决定事项，及时向区委、</w:t>
      </w:r>
      <w:r>
        <w:rPr>
          <w:rFonts w:hint="eastAsia" w:ascii="仿宋_GB2312" w:hAnsi="仿宋_GB2312" w:eastAsia="仿宋_GB2312" w:cs="仿宋_GB2312"/>
          <w:b w:val="0"/>
          <w:bCs w:val="0"/>
          <w:color w:val="auto"/>
          <w:kern w:val="2"/>
          <w:sz w:val="32"/>
          <w:szCs w:val="32"/>
          <w:lang w:val="en-US" w:eastAsia="zh-CN"/>
        </w:rPr>
        <w:t>政</w:t>
      </w:r>
      <w:r>
        <w:rPr>
          <w:rFonts w:hint="eastAsia" w:ascii="仿宋_GB2312" w:hAnsi="仿宋_GB2312" w:eastAsia="仿宋_GB2312" w:cs="仿宋_GB2312"/>
          <w:b w:val="0"/>
          <w:bCs w:val="0"/>
          <w:color w:val="auto"/>
          <w:kern w:val="2"/>
          <w:sz w:val="32"/>
          <w:szCs w:val="32"/>
        </w:rPr>
        <w:t>府报告重要情况和提出建议。</w:t>
      </w:r>
      <w:bookmarkEnd w:id="101"/>
      <w:bookmarkEnd w:id="102"/>
      <w:bookmarkEnd w:id="103"/>
      <w:bookmarkEnd w:id="104"/>
      <w:bookmarkEnd w:id="105"/>
    </w:p>
    <w:p>
      <w:pPr>
        <w:pStyle w:val="12"/>
        <w:keepNext w:val="0"/>
        <w:keepLines w:val="0"/>
        <w:pageBreakBefore w:val="0"/>
        <w:widowControl w:val="0"/>
        <w:kinsoku/>
        <w:wordWrap/>
        <w:overflowPunct/>
        <w:topLinePunct w:val="0"/>
        <w:autoSpaceDE/>
        <w:autoSpaceDN/>
        <w:bidi w:val="0"/>
        <w:spacing w:beforeAutospacing="0" w:afterAutospacing="0" w:line="360" w:lineRule="auto"/>
        <w:ind w:firstLine="640" w:firstLineChars="200"/>
        <w:jc w:val="both"/>
        <w:textAlignment w:val="auto"/>
        <w:rPr>
          <w:rFonts w:hint="eastAsia" w:ascii="仿宋_GB2312" w:hAnsi="仿宋_GB2312" w:eastAsia="仿宋_GB2312" w:cs="仿宋_GB2312"/>
          <w:color w:val="auto"/>
          <w:kern w:val="2"/>
          <w:sz w:val="32"/>
          <w:szCs w:val="22"/>
          <w:lang w:val="en-US" w:eastAsia="zh-CN"/>
        </w:rPr>
      </w:pPr>
      <w:r>
        <w:rPr>
          <w:rFonts w:hint="eastAsia" w:ascii="仿宋_GB2312" w:hAnsi="仿宋_GB2312" w:eastAsia="仿宋_GB2312" w:cs="仿宋_GB2312"/>
          <w:color w:val="auto"/>
          <w:kern w:val="2"/>
          <w:sz w:val="32"/>
          <w:szCs w:val="22"/>
          <w:lang w:val="en-US" w:eastAsia="zh-CN"/>
        </w:rPr>
        <w:t>3</w:t>
      </w:r>
      <w:r>
        <w:rPr>
          <w:rFonts w:hint="eastAsia" w:ascii="仿宋_GB2312" w:hAnsi="仿宋_GB2312" w:eastAsia="仿宋_GB2312" w:cs="仿宋_GB2312"/>
          <w:color w:val="auto"/>
          <w:kern w:val="2"/>
          <w:sz w:val="32"/>
          <w:szCs w:val="22"/>
        </w:rPr>
        <w:t>.1</w:t>
      </w:r>
      <w:r>
        <w:rPr>
          <w:rFonts w:hint="eastAsia" w:ascii="仿宋_GB2312" w:hAnsi="仿宋_GB2312" w:eastAsia="仿宋_GB2312" w:cs="仿宋_GB2312"/>
          <w:color w:val="auto"/>
          <w:kern w:val="2"/>
          <w:sz w:val="32"/>
          <w:szCs w:val="22"/>
          <w:lang w:val="en-US" w:eastAsia="zh-CN"/>
        </w:rPr>
        <w:t>.3</w:t>
      </w:r>
      <w:r>
        <w:rPr>
          <w:rFonts w:hint="eastAsia" w:ascii="仿宋_GB2312" w:hAnsi="仿宋_GB2312" w:eastAsia="仿宋_GB2312" w:cs="仿宋_GB2312"/>
          <w:color w:val="auto"/>
          <w:kern w:val="2"/>
          <w:sz w:val="32"/>
          <w:szCs w:val="22"/>
        </w:rPr>
        <w:t xml:space="preserve"> </w:t>
      </w:r>
      <w:r>
        <w:rPr>
          <w:rFonts w:hint="eastAsia" w:ascii="仿宋_GB2312" w:hAnsi="仿宋_GB2312" w:eastAsia="仿宋_GB2312" w:cs="仿宋_GB2312"/>
          <w:color w:val="auto"/>
          <w:kern w:val="2"/>
          <w:sz w:val="32"/>
          <w:szCs w:val="22"/>
          <w:lang w:val="en-US" w:eastAsia="zh-CN"/>
        </w:rPr>
        <w:t>区</w:t>
      </w:r>
      <w:r>
        <w:rPr>
          <w:rFonts w:hint="eastAsia" w:ascii="仿宋_GB2312" w:hAnsi="仿宋_GB2312" w:eastAsia="仿宋_GB2312" w:cs="仿宋_GB2312"/>
          <w:color w:val="auto"/>
          <w:kern w:val="2"/>
          <w:sz w:val="32"/>
          <w:szCs w:val="22"/>
        </w:rPr>
        <w:t>森林草原防灭火</w:t>
      </w:r>
      <w:r>
        <w:rPr>
          <w:rFonts w:hint="eastAsia" w:ascii="仿宋_GB2312" w:hAnsi="仿宋_GB2312" w:eastAsia="仿宋_GB2312" w:cs="仿宋_GB2312"/>
          <w:color w:val="auto"/>
          <w:kern w:val="2"/>
          <w:sz w:val="32"/>
          <w:szCs w:val="22"/>
          <w:lang w:val="en-US" w:eastAsia="zh-CN"/>
        </w:rPr>
        <w:t>指挥部办公室及职责</w:t>
      </w:r>
    </w:p>
    <w:p>
      <w:pPr>
        <w:keepNext w:val="0"/>
        <w:keepLines w:val="0"/>
        <w:pageBreakBefore w:val="0"/>
        <w:widowControl w:val="0"/>
        <w:suppressLineNumbers w:val="0"/>
        <w:kinsoku/>
        <w:wordWrap/>
        <w:overflowPunct/>
        <w:topLinePunct w:val="0"/>
        <w:autoSpaceDE/>
        <w:autoSpaceDN/>
        <w:bidi w:val="0"/>
        <w:spacing w:line="360" w:lineRule="auto"/>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lang w:val="en-US" w:eastAsia="zh-CN"/>
        </w:rPr>
        <w:t>区</w:t>
      </w:r>
      <w:r>
        <w:rPr>
          <w:rFonts w:hint="eastAsia" w:ascii="仿宋_GB2312" w:hAnsi="仿宋_GB2312" w:eastAsia="仿宋_GB2312" w:cs="仿宋_GB2312"/>
          <w:color w:val="auto"/>
          <w:kern w:val="2"/>
          <w:sz w:val="32"/>
          <w:szCs w:val="22"/>
        </w:rPr>
        <w:t>森林草原防灭火</w:t>
      </w:r>
      <w:r>
        <w:rPr>
          <w:rFonts w:hint="eastAsia" w:ascii="仿宋_GB2312" w:hAnsi="仿宋_GB2312" w:eastAsia="仿宋_GB2312" w:cs="仿宋_GB2312"/>
          <w:color w:val="auto"/>
          <w:kern w:val="2"/>
          <w:sz w:val="32"/>
          <w:szCs w:val="22"/>
          <w:lang w:val="en-US" w:eastAsia="zh-CN"/>
        </w:rPr>
        <w:t>指挥部办公室（以下简称“区森防指办公室”）</w:t>
      </w:r>
      <w:r>
        <w:rPr>
          <w:rFonts w:hint="eastAsia" w:ascii="仿宋_GB2312" w:hAnsi="仿宋_GB2312" w:eastAsia="仿宋_GB2312" w:cs="仿宋_GB2312"/>
          <w:bCs/>
          <w:color w:val="auto"/>
          <w:sz w:val="32"/>
          <w:szCs w:val="32"/>
        </w:rPr>
        <w:t>设在</w:t>
      </w:r>
      <w:r>
        <w:rPr>
          <w:rFonts w:hint="eastAsia" w:ascii="仿宋_GB2312" w:hAnsi="仿宋_GB2312" w:eastAsia="仿宋_GB2312" w:cs="仿宋_GB2312"/>
          <w:bCs/>
          <w:color w:val="auto"/>
          <w:sz w:val="32"/>
          <w:szCs w:val="32"/>
          <w:lang w:val="en-US" w:eastAsia="zh-CN"/>
        </w:rPr>
        <w:t>区</w:t>
      </w:r>
      <w:r>
        <w:rPr>
          <w:rFonts w:hint="eastAsia" w:ascii="仿宋_GB2312" w:hAnsi="仿宋_GB2312" w:eastAsia="仿宋_GB2312" w:cs="仿宋_GB2312"/>
          <w:bCs/>
          <w:color w:val="auto"/>
          <w:sz w:val="32"/>
          <w:szCs w:val="32"/>
        </w:rPr>
        <w:t>应急管理局，为</w:t>
      </w:r>
      <w:r>
        <w:rPr>
          <w:rFonts w:hint="eastAsia" w:ascii="仿宋_GB2312" w:hAnsi="仿宋_GB2312" w:eastAsia="仿宋_GB2312" w:cs="仿宋_GB2312"/>
          <w:bCs/>
          <w:color w:val="auto"/>
          <w:sz w:val="32"/>
          <w:szCs w:val="32"/>
          <w:lang w:val="en-US" w:eastAsia="zh-CN"/>
        </w:rPr>
        <w:t>区</w:t>
      </w:r>
      <w:r>
        <w:rPr>
          <w:rFonts w:hint="eastAsia" w:ascii="仿宋_GB2312" w:hAnsi="仿宋_GB2312" w:eastAsia="仿宋_GB2312" w:cs="仿宋_GB2312"/>
          <w:color w:val="auto"/>
          <w:kern w:val="2"/>
          <w:sz w:val="32"/>
          <w:szCs w:val="32"/>
        </w:rPr>
        <w:t>森林草原防灭火</w:t>
      </w:r>
      <w:r>
        <w:rPr>
          <w:rFonts w:hint="eastAsia" w:ascii="仿宋_GB2312" w:hAnsi="仿宋_GB2312" w:eastAsia="仿宋_GB2312" w:cs="仿宋_GB2312"/>
          <w:color w:val="auto"/>
          <w:kern w:val="2"/>
          <w:sz w:val="32"/>
          <w:szCs w:val="32"/>
          <w:lang w:val="en-US" w:eastAsia="zh-CN"/>
        </w:rPr>
        <w:t>指挥部</w:t>
      </w:r>
      <w:r>
        <w:rPr>
          <w:rFonts w:hint="eastAsia" w:ascii="仿宋_GB2312" w:hAnsi="仿宋_GB2312" w:eastAsia="仿宋_GB2312" w:cs="仿宋_GB2312"/>
          <w:bCs/>
          <w:color w:val="auto"/>
          <w:sz w:val="32"/>
          <w:szCs w:val="32"/>
        </w:rPr>
        <w:t>的日常办事机</w:t>
      </w:r>
      <w:r>
        <w:rPr>
          <w:rFonts w:hint="eastAsia" w:ascii="仿宋_GB2312" w:hAnsi="仿宋_GB2312" w:eastAsia="仿宋_GB2312" w:cs="仿宋_GB2312"/>
          <w:bCs/>
          <w:color w:val="auto"/>
          <w:sz w:val="32"/>
          <w:szCs w:val="32"/>
          <w:highlight w:val="none"/>
        </w:rPr>
        <w:t>构。办公室主任由</w:t>
      </w:r>
      <w:r>
        <w:rPr>
          <w:rFonts w:hint="eastAsia" w:ascii="仿宋_GB2312" w:hAnsi="仿宋_GB2312" w:eastAsia="仿宋_GB2312" w:cs="仿宋_GB2312"/>
          <w:bCs/>
          <w:color w:val="auto"/>
          <w:sz w:val="32"/>
          <w:szCs w:val="32"/>
          <w:highlight w:val="none"/>
          <w:lang w:val="en-US" w:eastAsia="zh-CN"/>
        </w:rPr>
        <w:t>应急管理局局长戚英同志</w:t>
      </w:r>
      <w:r>
        <w:rPr>
          <w:rFonts w:hint="eastAsia" w:ascii="仿宋_GB2312" w:hAnsi="仿宋_GB2312" w:eastAsia="仿宋_GB2312" w:cs="仿宋_GB2312"/>
          <w:bCs/>
          <w:color w:val="auto"/>
          <w:sz w:val="32"/>
          <w:szCs w:val="32"/>
          <w:highlight w:val="none"/>
        </w:rPr>
        <w:t>兼任</w:t>
      </w:r>
      <w:r>
        <w:rPr>
          <w:rFonts w:hint="eastAsia" w:ascii="仿宋_GB2312" w:hAnsi="仿宋_GB2312" w:eastAsia="仿宋_GB2312" w:cs="仿宋_GB2312"/>
          <w:bCs/>
          <w:color w:val="auto"/>
          <w:sz w:val="32"/>
          <w:szCs w:val="32"/>
          <w:highlight w:val="none"/>
          <w:lang w:val="en-US" w:eastAsia="zh-CN"/>
        </w:rPr>
        <w:t>，</w:t>
      </w:r>
      <w:r>
        <w:rPr>
          <w:rFonts w:hint="eastAsia" w:ascii="仿宋_GB2312" w:hAnsi="仿宋_GB2312" w:eastAsia="仿宋_GB2312" w:cs="仿宋_GB2312"/>
          <w:bCs/>
          <w:color w:val="auto"/>
          <w:sz w:val="32"/>
          <w:szCs w:val="32"/>
          <w:highlight w:val="none"/>
        </w:rPr>
        <w:t>副主任由</w:t>
      </w:r>
      <w:r>
        <w:rPr>
          <w:rFonts w:hint="eastAsia" w:ascii="仿宋_GB2312" w:hAnsi="仿宋_GB2312" w:eastAsia="仿宋_GB2312" w:cs="仿宋_GB2312"/>
          <w:bCs/>
          <w:color w:val="auto"/>
          <w:sz w:val="32"/>
          <w:szCs w:val="32"/>
          <w:highlight w:val="none"/>
          <w:lang w:val="en-US" w:eastAsia="zh-CN"/>
        </w:rPr>
        <w:t>李世珍</w:t>
      </w:r>
      <w:r>
        <w:rPr>
          <w:rFonts w:hint="eastAsia" w:ascii="仿宋_GB2312" w:hAnsi="仿宋_GB2312" w:eastAsia="仿宋_GB2312" w:cs="仿宋_GB2312"/>
          <w:color w:val="auto"/>
          <w:kern w:val="0"/>
          <w:sz w:val="32"/>
          <w:szCs w:val="32"/>
          <w:highlight w:val="none"/>
          <w:lang w:val="en-US" w:eastAsia="zh-CN" w:bidi="ar"/>
        </w:rPr>
        <w:t>同志</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bidi="ar-SA"/>
        </w:rPr>
        <w:t>张计标</w:t>
      </w:r>
      <w:r>
        <w:rPr>
          <w:rFonts w:hint="eastAsia" w:ascii="仿宋_GB2312" w:hAnsi="仿宋_GB2312" w:eastAsia="仿宋_GB2312" w:cs="仿宋_GB2312"/>
          <w:bCs/>
          <w:color w:val="auto"/>
          <w:sz w:val="32"/>
          <w:szCs w:val="32"/>
          <w:highlight w:val="none"/>
          <w:lang w:val="en-US" w:eastAsia="zh-CN"/>
        </w:rPr>
        <w:t>同志</w:t>
      </w:r>
      <w:r>
        <w:rPr>
          <w:rFonts w:hint="eastAsia" w:ascii="仿宋_GB2312" w:hAnsi="仿宋_GB2312" w:eastAsia="仿宋_GB2312" w:cs="仿宋_GB2312"/>
          <w:bCs/>
          <w:color w:val="auto"/>
          <w:sz w:val="32"/>
          <w:szCs w:val="32"/>
          <w:highlight w:val="none"/>
        </w:rPr>
        <w:t>担任</w:t>
      </w:r>
      <w:r>
        <w:rPr>
          <w:rFonts w:hint="eastAsia" w:ascii="仿宋_GB2312" w:hAnsi="仿宋_GB2312" w:eastAsia="仿宋_GB2312" w:cs="仿宋_GB2312"/>
          <w:color w:val="auto"/>
          <w:kern w:val="2"/>
          <w:sz w:val="32"/>
          <w:szCs w:val="32"/>
          <w:highlight w:val="none"/>
          <w:lang w:val="en-US" w:eastAsia="zh-CN" w:bidi="ar-SA"/>
        </w:rPr>
        <w:t>。</w:t>
      </w:r>
    </w:p>
    <w:p>
      <w:pPr>
        <w:pageBreakBefore w:val="0"/>
        <w:widowControl w:val="0"/>
        <w:kinsoku/>
        <w:wordWrap/>
        <w:overflowPunct/>
        <w:topLinePunct w:val="0"/>
        <w:autoSpaceDE/>
        <w:autoSpaceDN/>
        <w:bidi w:val="0"/>
        <w:spacing w:line="360" w:lineRule="auto"/>
        <w:ind w:firstLine="640" w:firstLineChars="200"/>
        <w:textAlignment w:val="auto"/>
        <w:rPr>
          <w:rFonts w:hint="eastAsia" w:ascii="仿宋" w:hAnsi="仿宋" w:eastAsia="仿宋" w:cs="仿宋"/>
          <w:color w:val="auto"/>
          <w:kern w:val="2"/>
          <w:sz w:val="32"/>
          <w:szCs w:val="22"/>
          <w:highlight w:val="none"/>
          <w:lang w:val="en-US" w:eastAsia="zh-CN" w:bidi="ar-SA"/>
        </w:rPr>
      </w:pPr>
      <w:r>
        <w:rPr>
          <w:rFonts w:hint="eastAsia" w:ascii="仿宋_GB2312" w:hAnsi="仿宋_GB2312" w:eastAsia="仿宋_GB2312" w:cs="仿宋_GB2312"/>
          <w:color w:val="auto"/>
          <w:kern w:val="2"/>
          <w:sz w:val="32"/>
          <w:szCs w:val="22"/>
          <w:highlight w:val="none"/>
          <w:lang w:val="en-US" w:eastAsia="zh-CN" w:bidi="ar-SA"/>
        </w:rPr>
        <w:t>主要职责</w:t>
      </w:r>
      <w:r>
        <w:rPr>
          <w:rFonts w:hint="eastAsia" w:ascii="仿宋" w:hAnsi="仿宋" w:eastAsia="仿宋" w:cs="仿宋"/>
          <w:color w:val="auto"/>
          <w:kern w:val="2"/>
          <w:sz w:val="32"/>
          <w:szCs w:val="22"/>
          <w:highlight w:val="none"/>
          <w:lang w:val="en-US" w:eastAsia="zh-CN" w:bidi="ar-SA"/>
        </w:rPr>
        <w:t>：</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落实自治区、市森防指和区森防指的工作要求；</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分析本区森林草原防火形势，协调解决森林草原防灭火工作中的重要问题；</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综合汇总本区森林草原防灭火工作，承办区森防指会议、文件起草等工作；</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组织会商、研判森林草原火险信息和监测信息；</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360" w:lineRule="auto"/>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负责本区森防指成员单位的日常协调联络等工作；</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360" w:lineRule="auto"/>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承办区森防指交办的其他事项。</w:t>
      </w:r>
    </w:p>
    <w:p>
      <w:pPr>
        <w:pStyle w:val="12"/>
        <w:keepNext w:val="0"/>
        <w:keepLines w:val="0"/>
        <w:pageBreakBefore w:val="0"/>
        <w:widowControl w:val="0"/>
        <w:kinsoku/>
        <w:wordWrap/>
        <w:overflowPunct/>
        <w:topLinePunct w:val="0"/>
        <w:autoSpaceDE/>
        <w:autoSpaceDN/>
        <w:bidi w:val="0"/>
        <w:spacing w:beforeAutospacing="0" w:afterAutospacing="0" w:line="360" w:lineRule="auto"/>
        <w:ind w:firstLine="640" w:firstLineChars="200"/>
        <w:jc w:val="both"/>
        <w:textAlignment w:val="auto"/>
        <w:rPr>
          <w:rFonts w:hint="eastAsia" w:ascii="仿宋_GB2312" w:hAnsi="仿宋_GB2312" w:eastAsia="仿宋_GB2312" w:cs="仿宋_GB2312"/>
          <w:color w:val="auto"/>
          <w:kern w:val="2"/>
          <w:sz w:val="32"/>
          <w:szCs w:val="22"/>
          <w:lang w:val="en-US" w:eastAsia="zh-CN"/>
        </w:rPr>
      </w:pPr>
      <w:r>
        <w:rPr>
          <w:rFonts w:hint="eastAsia" w:ascii="仿宋_GB2312" w:hAnsi="仿宋_GB2312" w:eastAsia="仿宋_GB2312" w:cs="仿宋_GB2312"/>
          <w:color w:val="auto"/>
          <w:kern w:val="2"/>
          <w:sz w:val="32"/>
          <w:szCs w:val="22"/>
          <w:lang w:val="en-US" w:eastAsia="zh-CN"/>
        </w:rPr>
        <w:t>3.1.4 成员单位及职责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eastAsia="zh-CN"/>
        </w:rPr>
      </w:pPr>
      <w:bookmarkStart w:id="106" w:name="_Toc1344"/>
      <w:bookmarkStart w:id="107" w:name="_Toc24735"/>
      <w:bookmarkStart w:id="108" w:name="_Toc13095"/>
      <w:bookmarkStart w:id="109" w:name="_Toc12165"/>
      <w:bookmarkStart w:id="110" w:name="_Toc13243"/>
      <w:r>
        <w:rPr>
          <w:rFonts w:hint="eastAsia" w:ascii="仿宋_GB2312" w:hAnsi="仿宋_GB2312" w:eastAsia="仿宋_GB2312" w:cs="仿宋_GB2312"/>
          <w:color w:val="auto"/>
          <w:sz w:val="32"/>
          <w:szCs w:val="32"/>
          <w:lang w:val="en-US" w:eastAsia="zh-CN"/>
        </w:rPr>
        <w:t>区森防指成员单位主要包括：</w:t>
      </w:r>
      <w:r>
        <w:rPr>
          <w:rFonts w:hint="eastAsia" w:ascii="仿宋_GB2312" w:hAnsi="仿宋_GB2312" w:eastAsia="仿宋_GB2312" w:cs="仿宋_GB2312"/>
          <w:color w:val="auto"/>
          <w:sz w:val="32"/>
          <w:szCs w:val="32"/>
        </w:rPr>
        <w:t>区委宣传部、武装部、</w:t>
      </w:r>
      <w:r>
        <w:rPr>
          <w:rFonts w:hint="eastAsia" w:ascii="仿宋_GB2312" w:hAnsi="仿宋_GB2312" w:eastAsia="仿宋_GB2312" w:cs="仿宋_GB2312"/>
          <w:color w:val="auto"/>
          <w:sz w:val="32"/>
          <w:szCs w:val="32"/>
          <w:lang w:val="en-US" w:eastAsia="zh-CN"/>
        </w:rPr>
        <w:t>应急管理局</w:t>
      </w:r>
      <w:r>
        <w:rPr>
          <w:rFonts w:hint="eastAsia" w:ascii="仿宋_GB2312" w:hAnsi="仿宋_GB2312" w:eastAsia="仿宋_GB2312" w:cs="仿宋_GB2312"/>
          <w:color w:val="auto"/>
          <w:sz w:val="32"/>
          <w:szCs w:val="32"/>
        </w:rPr>
        <w:t>、民政局、</w:t>
      </w:r>
      <w:r>
        <w:rPr>
          <w:rFonts w:hint="eastAsia" w:ascii="仿宋_GB2312" w:hAnsi="仿宋_GB2312" w:eastAsia="仿宋_GB2312" w:cs="仿宋_GB2312"/>
          <w:color w:val="auto"/>
          <w:sz w:val="32"/>
          <w:szCs w:val="32"/>
          <w:lang w:eastAsia="zh-CN"/>
        </w:rPr>
        <w:t>发展和改革委员会</w:t>
      </w:r>
      <w:r>
        <w:rPr>
          <w:rFonts w:hint="eastAsia" w:ascii="仿宋_GB2312" w:hAnsi="仿宋_GB2312" w:eastAsia="仿宋_GB2312" w:cs="仿宋_GB2312"/>
          <w:color w:val="auto"/>
          <w:sz w:val="32"/>
          <w:szCs w:val="32"/>
        </w:rPr>
        <w:t>、教育局、</w:t>
      </w:r>
      <w:r>
        <w:rPr>
          <w:rFonts w:hint="eastAsia" w:ascii="仿宋_GB2312" w:hAnsi="仿宋_GB2312" w:eastAsia="仿宋_GB2312" w:cs="仿宋_GB2312"/>
          <w:color w:val="auto"/>
          <w:sz w:val="32"/>
          <w:szCs w:val="32"/>
          <w:lang w:eastAsia="zh-CN"/>
        </w:rPr>
        <w:t>公安分局</w:t>
      </w:r>
      <w:r>
        <w:rPr>
          <w:rFonts w:hint="eastAsia" w:ascii="仿宋_GB2312" w:hAnsi="仿宋_GB2312" w:eastAsia="仿宋_GB2312" w:cs="仿宋_GB2312"/>
          <w:color w:val="auto"/>
          <w:sz w:val="32"/>
          <w:szCs w:val="32"/>
        </w:rPr>
        <w:t>、财政局、</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"http://www.bjft.gov.cn/ftq/c100003pu/jgxxcontent.shtml" \t "http://www.bjft.gov.cn/ftq/c100003pu/_parent"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自然资源</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分局、</w:t>
      </w:r>
      <w:r>
        <w:rPr>
          <w:rFonts w:hint="eastAsia" w:ascii="仿宋_GB2312" w:hAnsi="仿宋_GB2312" w:eastAsia="仿宋_GB2312" w:cs="仿宋_GB2312"/>
          <w:color w:val="auto"/>
          <w:sz w:val="32"/>
          <w:szCs w:val="32"/>
          <w:lang w:val="en-US" w:eastAsia="zh-CN"/>
        </w:rPr>
        <w:t>住房和城乡建设局</w:t>
      </w:r>
      <w:r>
        <w:rPr>
          <w:rFonts w:hint="eastAsia" w:ascii="仿宋_GB2312" w:hAnsi="仿宋_GB2312" w:eastAsia="仿宋_GB2312" w:cs="仿宋_GB2312"/>
          <w:color w:val="auto"/>
          <w:sz w:val="32"/>
          <w:szCs w:val="32"/>
        </w:rPr>
        <w:t>、交管大队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工业和信息化局</w:t>
      </w:r>
      <w:r>
        <w:rPr>
          <w:rFonts w:hint="eastAsia" w:ascii="仿宋_GB2312" w:hAnsi="仿宋_GB2312" w:eastAsia="仿宋_GB2312" w:cs="仿宋_GB2312"/>
          <w:color w:val="auto"/>
          <w:sz w:val="32"/>
          <w:szCs w:val="32"/>
        </w:rPr>
        <w:t>、农牧水利局、</w:t>
      </w:r>
      <w:r>
        <w:rPr>
          <w:rFonts w:hint="eastAsia" w:ascii="仿宋_GB2312" w:hAnsi="仿宋_GB2312" w:eastAsia="仿宋_GB2312" w:cs="仿宋_GB2312"/>
          <w:color w:val="auto"/>
          <w:sz w:val="32"/>
          <w:szCs w:val="32"/>
          <w:lang w:val="en-US" w:eastAsia="zh-CN"/>
        </w:rPr>
        <w:t>林业和草原</w:t>
      </w:r>
      <w:r>
        <w:rPr>
          <w:rFonts w:hint="eastAsia" w:ascii="仿宋_GB2312" w:hAnsi="仿宋_GB2312" w:eastAsia="仿宋_GB2312" w:cs="仿宋_GB2312"/>
          <w:color w:val="auto"/>
          <w:sz w:val="32"/>
          <w:szCs w:val="32"/>
        </w:rPr>
        <w:t>分局、</w:t>
      </w:r>
      <w:r>
        <w:rPr>
          <w:rFonts w:hint="eastAsia" w:ascii="仿宋_GB2312" w:hAnsi="仿宋_GB2312" w:eastAsia="仿宋_GB2312" w:cs="仿宋_GB2312"/>
          <w:color w:val="auto"/>
          <w:sz w:val="32"/>
          <w:szCs w:val="32"/>
          <w:lang w:val="en-US" w:eastAsia="zh-CN"/>
        </w:rPr>
        <w:t>卫生健康委员会</w:t>
      </w:r>
      <w:r>
        <w:rPr>
          <w:rFonts w:hint="eastAsia" w:ascii="仿宋_GB2312" w:hAnsi="仿宋_GB2312" w:eastAsia="仿宋_GB2312" w:cs="仿宋_GB2312"/>
          <w:color w:val="auto"/>
          <w:sz w:val="32"/>
          <w:szCs w:val="32"/>
        </w:rPr>
        <w:t>、文体</w:t>
      </w:r>
      <w:r>
        <w:rPr>
          <w:rFonts w:hint="eastAsia" w:ascii="仿宋_GB2312" w:hAnsi="仿宋_GB2312" w:eastAsia="仿宋_GB2312" w:cs="仿宋_GB2312"/>
          <w:color w:val="auto"/>
          <w:sz w:val="32"/>
          <w:szCs w:val="32"/>
          <w:lang w:val="en-US" w:eastAsia="zh-CN"/>
        </w:rPr>
        <w:t>旅游</w:t>
      </w:r>
      <w:r>
        <w:rPr>
          <w:rFonts w:hint="eastAsia" w:ascii="仿宋_GB2312" w:hAnsi="仿宋_GB2312" w:eastAsia="仿宋_GB2312" w:cs="仿宋_GB2312"/>
          <w:color w:val="auto"/>
          <w:sz w:val="32"/>
          <w:szCs w:val="32"/>
        </w:rPr>
        <w:t>广电局、</w:t>
      </w:r>
      <w:r>
        <w:rPr>
          <w:rFonts w:hint="eastAsia" w:ascii="仿宋_GB2312" w:hAnsi="仿宋_GB2312" w:eastAsia="仿宋_GB2312" w:cs="仿宋_GB2312"/>
          <w:color w:val="auto"/>
          <w:sz w:val="32"/>
          <w:szCs w:val="32"/>
          <w:lang w:val="en-US" w:eastAsia="zh-CN"/>
        </w:rPr>
        <w:t>城市管理综合执法局、新城</w:t>
      </w:r>
      <w:r>
        <w:rPr>
          <w:rFonts w:hint="eastAsia" w:ascii="仿宋_GB2312" w:hAnsi="仿宋_GB2312" w:eastAsia="仿宋_GB2312" w:cs="仿宋_GB2312"/>
          <w:color w:val="auto"/>
          <w:sz w:val="32"/>
          <w:szCs w:val="32"/>
        </w:rPr>
        <w:t>供电分</w:t>
      </w:r>
      <w:r>
        <w:rPr>
          <w:rFonts w:hint="eastAsia" w:ascii="仿宋_GB2312" w:hAnsi="仿宋_GB2312" w:eastAsia="仿宋_GB2312" w:cs="仿宋_GB2312"/>
          <w:color w:val="auto"/>
          <w:sz w:val="32"/>
          <w:szCs w:val="32"/>
          <w:lang w:val="en-US" w:eastAsia="zh-CN"/>
        </w:rPr>
        <w:t>公司</w:t>
      </w:r>
      <w:r>
        <w:rPr>
          <w:rFonts w:hint="eastAsia" w:ascii="仿宋_GB2312" w:hAnsi="仿宋_GB2312" w:eastAsia="仿宋_GB2312" w:cs="仿宋_GB2312"/>
          <w:color w:val="auto"/>
          <w:sz w:val="32"/>
          <w:szCs w:val="32"/>
        </w:rPr>
        <w:t>、鸿盛供电分</w:t>
      </w:r>
      <w:r>
        <w:rPr>
          <w:rFonts w:hint="eastAsia" w:ascii="仿宋_GB2312" w:hAnsi="仿宋_GB2312" w:eastAsia="仿宋_GB2312" w:cs="仿宋_GB2312"/>
          <w:color w:val="auto"/>
          <w:sz w:val="32"/>
          <w:szCs w:val="32"/>
          <w:lang w:val="en-US" w:eastAsia="zh-CN"/>
        </w:rPr>
        <w:t>公司</w:t>
      </w:r>
      <w:r>
        <w:rPr>
          <w:rFonts w:hint="eastAsia" w:ascii="仿宋_GB2312" w:hAnsi="仿宋_GB2312" w:eastAsia="仿宋_GB2312" w:cs="仿宋_GB2312"/>
          <w:color w:val="auto"/>
          <w:sz w:val="32"/>
          <w:szCs w:val="32"/>
        </w:rPr>
        <w:t>、气象分局、消防救援大队、内蒙古森林消防总队特勤大队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乌素图国家森林公园建设养护中心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古路板管理站、</w:t>
      </w:r>
      <w:bookmarkEnd w:id="106"/>
      <w:bookmarkEnd w:id="107"/>
      <w:bookmarkEnd w:id="108"/>
      <w:bookmarkEnd w:id="109"/>
      <w:bookmarkEnd w:id="110"/>
      <w:r>
        <w:rPr>
          <w:rFonts w:hint="eastAsia" w:ascii="仿宋_GB2312" w:hAnsi="仿宋_GB2312" w:eastAsia="仿宋_GB2312" w:cs="仿宋_GB2312"/>
          <w:color w:val="auto"/>
          <w:kern w:val="2"/>
          <w:sz w:val="32"/>
          <w:szCs w:val="22"/>
          <w:lang w:val="en-US" w:eastAsia="zh-CN" w:bidi="ar-SA"/>
        </w:rPr>
        <w:t>保合少镇、成吉思汗街道办事处。</w:t>
      </w:r>
    </w:p>
    <w:p>
      <w:pPr>
        <w:pageBreakBefore w:val="0"/>
        <w:widowControl w:val="0"/>
        <w:kinsoku/>
        <w:wordWrap/>
        <w:overflowPunct/>
        <w:topLinePunct w:val="0"/>
        <w:autoSpaceDE/>
        <w:autoSpaceDN/>
        <w:bidi w:val="0"/>
        <w:spacing w:line="360" w:lineRule="auto"/>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宣传部</w:t>
      </w:r>
      <w:r>
        <w:rPr>
          <w:rFonts w:hint="eastAsia" w:ascii="仿宋_GB2312" w:hAnsi="仿宋_GB2312" w:eastAsia="仿宋_GB2312" w:cs="仿宋_GB2312"/>
          <w:color w:val="auto"/>
          <w:sz w:val="32"/>
          <w:szCs w:val="32"/>
        </w:rPr>
        <w:t>：负责组织新闻媒体做好森林草原防灭火宣传报道工作，负责森林草原火灾网络舆情监测应对处置工作；指导协调有关部门做好突发事件的信息发布和舆论引导工作。</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应急管理局：</w:t>
      </w:r>
      <w:r>
        <w:rPr>
          <w:rFonts w:hint="eastAsia" w:ascii="仿宋_GB2312" w:hAnsi="仿宋_GB2312" w:eastAsia="仿宋_GB2312" w:cs="仿宋_GB2312"/>
          <w:color w:val="auto"/>
          <w:sz w:val="32"/>
          <w:szCs w:val="32"/>
        </w:rPr>
        <w:t>负责组织开展森林草原火灾的处置工作，发生火情时调集专业扑火队，保证第一时间到达起火现场进行扑救，必要时协调</w:t>
      </w:r>
      <w:r>
        <w:rPr>
          <w:rFonts w:hint="eastAsia" w:ascii="仿宋_GB2312" w:hAnsi="仿宋_GB2312" w:eastAsia="仿宋_GB2312" w:cs="仿宋_GB2312"/>
          <w:color w:val="auto"/>
          <w:sz w:val="32"/>
          <w:szCs w:val="32"/>
          <w:lang w:val="en-US" w:eastAsia="zh-CN"/>
        </w:rPr>
        <w:t>消防救援队伍</w:t>
      </w:r>
      <w:r>
        <w:rPr>
          <w:rFonts w:hint="eastAsia" w:ascii="仿宋_GB2312" w:hAnsi="仿宋_GB2312" w:eastAsia="仿宋_GB2312" w:cs="仿宋_GB2312"/>
          <w:color w:val="auto"/>
          <w:sz w:val="32"/>
          <w:szCs w:val="32"/>
        </w:rPr>
        <w:t>参加火灾扑救工作；督促有关部门开展火灾查处、灾害救助、损失调查和评估灾后处置工作；负责综合指导各</w:t>
      </w:r>
      <w:r>
        <w:rPr>
          <w:rFonts w:hint="eastAsia" w:ascii="仿宋_GB2312" w:hAnsi="仿宋_GB2312" w:eastAsia="仿宋_GB2312" w:cs="仿宋_GB2312"/>
          <w:color w:val="auto"/>
          <w:sz w:val="32"/>
          <w:szCs w:val="32"/>
          <w:lang w:eastAsia="zh-CN"/>
        </w:rPr>
        <w:t>镇（街道）</w:t>
      </w:r>
      <w:r>
        <w:rPr>
          <w:rFonts w:hint="eastAsia" w:ascii="仿宋_GB2312" w:hAnsi="仿宋_GB2312" w:eastAsia="仿宋_GB2312" w:cs="仿宋_GB2312"/>
          <w:color w:val="auto"/>
          <w:sz w:val="32"/>
          <w:szCs w:val="32"/>
        </w:rPr>
        <w:t>和相关部门的森林草原火灾防控工作，强化火灾防控监督管理，做好火灾扑救分级响应，防范化解重大风险；做好森林草原防火的宣传教育工作</w:t>
      </w:r>
      <w:r>
        <w:rPr>
          <w:rFonts w:hint="eastAsia" w:ascii="仿宋_GB2312" w:hAnsi="仿宋_GB2312" w:eastAsia="仿宋_GB2312" w:cs="仿宋_GB2312"/>
          <w:color w:val="auto"/>
          <w:kern w:val="2"/>
          <w:sz w:val="32"/>
          <w:szCs w:val="32"/>
        </w:rPr>
        <w:t>。</w:t>
      </w:r>
    </w:p>
    <w:p>
      <w:pPr>
        <w:pageBreakBefore w:val="0"/>
        <w:widowControl w:val="0"/>
        <w:kinsoku/>
        <w:wordWrap/>
        <w:overflowPunct/>
        <w:topLinePunct w:val="0"/>
        <w:autoSpaceDE/>
        <w:autoSpaceDN/>
        <w:bidi w:val="0"/>
        <w:spacing w:line="360" w:lineRule="auto"/>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林</w:t>
      </w:r>
      <w:r>
        <w:rPr>
          <w:rFonts w:hint="eastAsia" w:ascii="仿宋_GB2312" w:hAnsi="仿宋_GB2312" w:eastAsia="仿宋_GB2312" w:cs="仿宋_GB2312"/>
          <w:b/>
          <w:bCs/>
          <w:color w:val="auto"/>
          <w:sz w:val="32"/>
          <w:szCs w:val="32"/>
          <w:lang w:val="en-US" w:eastAsia="zh-CN"/>
        </w:rPr>
        <w:t>业和草原</w:t>
      </w:r>
      <w:r>
        <w:rPr>
          <w:rFonts w:hint="eastAsia" w:ascii="仿宋_GB2312" w:hAnsi="仿宋_GB2312" w:eastAsia="仿宋_GB2312" w:cs="仿宋_GB2312"/>
          <w:b/>
          <w:bCs/>
          <w:color w:val="auto"/>
          <w:sz w:val="32"/>
          <w:szCs w:val="32"/>
        </w:rPr>
        <w:t>分局：</w:t>
      </w:r>
      <w:r>
        <w:rPr>
          <w:rFonts w:hint="eastAsia" w:ascii="仿宋_GB2312" w:hAnsi="仿宋_GB2312" w:eastAsia="仿宋_GB2312" w:cs="仿宋_GB2312"/>
          <w:color w:val="auto"/>
          <w:sz w:val="32"/>
          <w:szCs w:val="32"/>
        </w:rPr>
        <w:t>指导</w:t>
      </w: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区开展防火巡护、火源管理，防火设施建设等工作，负责</w:t>
      </w:r>
      <w:r>
        <w:rPr>
          <w:rFonts w:hint="eastAsia" w:ascii="仿宋_GB2312" w:hAnsi="仿宋_GB2312" w:eastAsia="仿宋_GB2312" w:cs="仿宋_GB2312"/>
          <w:color w:val="auto"/>
          <w:sz w:val="32"/>
          <w:szCs w:val="32"/>
          <w:lang w:val="en-US" w:eastAsia="zh-CN"/>
        </w:rPr>
        <w:t>本区</w:t>
      </w:r>
      <w:r>
        <w:rPr>
          <w:rFonts w:hint="eastAsia" w:ascii="仿宋_GB2312" w:hAnsi="仿宋_GB2312" w:eastAsia="仿宋_GB2312" w:cs="仿宋_GB2312"/>
          <w:color w:val="auto"/>
          <w:sz w:val="32"/>
          <w:szCs w:val="32"/>
        </w:rPr>
        <w:t>森林草原防火的监督和管理，值班值守和监测预警，提出火灾扑救方案或建议；组织指导开展森林草原防火宣传教育、监测预警、督促检查等工作；指导国有林场和草原牧区专业森林草原扑火队伍建设；配合应急部门参与森林草原火灾扑救工作；组织编制森林草原火灾防治规划和防护标准并指导实施。</w:t>
      </w:r>
    </w:p>
    <w:p>
      <w:pPr>
        <w:pageBreakBefore w:val="0"/>
        <w:widowControl w:val="0"/>
        <w:kinsoku/>
        <w:wordWrap/>
        <w:overflowPunct/>
        <w:topLinePunct w:val="0"/>
        <w:autoSpaceDE/>
        <w:autoSpaceDN/>
        <w:bidi w:val="0"/>
        <w:spacing w:line="36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气象分局</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区及重点林区、生态工程区、草原、重点时段的气象监测，发布森林草原火险气象等级预报；提供火场气象服务，根据需要组织开展森林草原防火和火灾扑救的人工增雨作业；与应急、林草等部门积极开展火险监测研究会商，提供雷电灾害监测预警服务；开展森林草原火灾气象成因分析等。</w:t>
      </w:r>
    </w:p>
    <w:p>
      <w:pPr>
        <w:pageBreakBefore w:val="0"/>
        <w:widowControl w:val="0"/>
        <w:kinsoku/>
        <w:wordWrap/>
        <w:overflowPunct/>
        <w:topLinePunct w:val="0"/>
        <w:autoSpaceDE/>
        <w:autoSpaceDN/>
        <w:bidi w:val="0"/>
        <w:spacing w:line="360" w:lineRule="auto"/>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发展和改革委员会</w:t>
      </w:r>
      <w:r>
        <w:rPr>
          <w:rFonts w:hint="eastAsia" w:ascii="仿宋_GB2312" w:hAnsi="仿宋_GB2312" w:eastAsia="仿宋_GB2312" w:cs="仿宋_GB2312"/>
          <w:color w:val="auto"/>
          <w:sz w:val="32"/>
          <w:szCs w:val="32"/>
        </w:rPr>
        <w:t>：将森林草原火灾防治纳入国民经济和社会发展规划；安排</w:t>
      </w: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区预算内投资的森林草原防灭火建设项目；协调地方做好森林草原火灾灾区粮食供应和相关物资保障等工作。</w:t>
      </w:r>
    </w:p>
    <w:p>
      <w:pPr>
        <w:pageBreakBefore w:val="0"/>
        <w:widowControl w:val="0"/>
        <w:kinsoku/>
        <w:wordWrap/>
        <w:overflowPunct/>
        <w:topLinePunct w:val="0"/>
        <w:autoSpaceDE/>
        <w:autoSpaceDN/>
        <w:bidi w:val="0"/>
        <w:spacing w:line="360" w:lineRule="auto"/>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教育局：</w:t>
      </w:r>
      <w:r>
        <w:rPr>
          <w:rFonts w:hint="eastAsia" w:ascii="仿宋_GB2312" w:hAnsi="仿宋_GB2312" w:eastAsia="仿宋_GB2312" w:cs="仿宋_GB2312"/>
          <w:color w:val="auto"/>
          <w:sz w:val="32"/>
          <w:szCs w:val="32"/>
        </w:rPr>
        <w:t>负责组织、指导</w:t>
      </w: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区各类学校开展森林草原防灭火安全教育和管理工作，监督重点林区、农区的学校和教育单位落实森林草原防灭火安全责任和措施。</w:t>
      </w:r>
    </w:p>
    <w:p>
      <w:pPr>
        <w:pageBreakBefore w:val="0"/>
        <w:widowControl w:val="0"/>
        <w:kinsoku/>
        <w:wordWrap/>
        <w:overflowPunct/>
        <w:topLinePunct w:val="0"/>
        <w:autoSpaceDE/>
        <w:autoSpaceDN/>
        <w:bidi w:val="0"/>
        <w:spacing w:line="360" w:lineRule="auto"/>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工业和信息化局</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负责做好森林草原防灭火专用频率保护性监测工作，保障通信安全畅通；发生森林草原火灾时，负责协调提供应急通信保障和利用公众信息网开展防灭火宣传教育活动；负责加强对</w:t>
      </w: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区重要商品市场运行和供求形势的监控，协调防灭火救灾和在灾后恢复重建物资的组织、供应。</w:t>
      </w:r>
    </w:p>
    <w:p>
      <w:pPr>
        <w:pageBreakBefore w:val="0"/>
        <w:widowControl w:val="0"/>
        <w:kinsoku/>
        <w:wordWrap/>
        <w:overflowPunct/>
        <w:topLinePunct w:val="0"/>
        <w:autoSpaceDE/>
        <w:autoSpaceDN/>
        <w:bidi w:val="0"/>
        <w:spacing w:line="360" w:lineRule="auto"/>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公安分局</w:t>
      </w:r>
      <w:r>
        <w:rPr>
          <w:rFonts w:hint="eastAsia" w:ascii="仿宋_GB2312" w:hAnsi="仿宋_GB2312" w:eastAsia="仿宋_GB2312" w:cs="仿宋_GB2312"/>
          <w:color w:val="auto"/>
          <w:sz w:val="32"/>
          <w:szCs w:val="32"/>
        </w:rPr>
        <w:t>：加强沿山区域治安管理工作，积极配合各部门开展森林草原火灾的预防工作，负责火灾案件查处工作。负责维护火灾现场治安秩序，协助组织受灾群众紧急转移避险，依法查处制造、传播网络谣言等违法人员。</w:t>
      </w:r>
    </w:p>
    <w:p>
      <w:pPr>
        <w:pageBreakBefore w:val="0"/>
        <w:widowControl w:val="0"/>
        <w:kinsoku/>
        <w:wordWrap/>
        <w:overflowPunct/>
        <w:topLinePunct w:val="0"/>
        <w:autoSpaceDE/>
        <w:autoSpaceDN/>
        <w:bidi w:val="0"/>
        <w:spacing w:line="360" w:lineRule="auto"/>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民政局：</w:t>
      </w:r>
      <w:r>
        <w:rPr>
          <w:rFonts w:hint="eastAsia" w:ascii="仿宋_GB2312" w:hAnsi="仿宋_GB2312" w:eastAsia="仿宋_GB2312" w:cs="仿宋_GB2312"/>
          <w:color w:val="auto"/>
          <w:sz w:val="32"/>
          <w:szCs w:val="32"/>
        </w:rPr>
        <w:t>监督指导公益性墓地和集体墓地的森林草原防灭火工作，提倡文明祭祀；指导重点防火区域的迁坟、文明扫墓祭祀等，减少和排除森林草原火灾隐患；将因灾造成生存困难人员纳入救助保障范围。</w:t>
      </w:r>
    </w:p>
    <w:p>
      <w:pPr>
        <w:pageBreakBefore w:val="0"/>
        <w:widowControl w:val="0"/>
        <w:kinsoku/>
        <w:wordWrap/>
        <w:overflowPunct/>
        <w:topLinePunct w:val="0"/>
        <w:autoSpaceDE/>
        <w:autoSpaceDN/>
        <w:bidi w:val="0"/>
        <w:spacing w:line="360" w:lineRule="auto"/>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财政局：</w:t>
      </w:r>
      <w:r>
        <w:rPr>
          <w:rFonts w:hint="eastAsia" w:ascii="仿宋_GB2312" w:hAnsi="仿宋_GB2312" w:eastAsia="仿宋_GB2312" w:cs="仿宋_GB2312"/>
          <w:color w:val="auto"/>
          <w:sz w:val="32"/>
          <w:szCs w:val="32"/>
        </w:rPr>
        <w:t>负责将森林草原防灭火专项经费纳入本级财政预算，向上级财政申请有关森林草原防灭火补助经费；负责保障森林草原防灭火各项资金落实并及时拨付和监管工作。</w:t>
      </w:r>
    </w:p>
    <w:p>
      <w:pPr>
        <w:pageBreakBefore w:val="0"/>
        <w:widowControl w:val="0"/>
        <w:kinsoku/>
        <w:wordWrap/>
        <w:overflowPunct/>
        <w:topLinePunct w:val="0"/>
        <w:autoSpaceDE/>
        <w:autoSpaceDN/>
        <w:bidi w:val="0"/>
        <w:spacing w:line="360" w:lineRule="auto"/>
        <w:ind w:firstLine="643" w:firstLineChars="200"/>
        <w:textAlignment w:val="auto"/>
        <w:rPr>
          <w:rFonts w:ascii="仿宋_GB2312" w:hAnsi="仿宋_GB2312" w:eastAsia="仿宋_GB2312" w:cs="仿宋_GB2312"/>
          <w:color w:val="auto"/>
          <w:sz w:val="32"/>
          <w:szCs w:val="32"/>
          <w:highlight w:val="yellow"/>
        </w:rPr>
      </w:pPr>
      <w:r>
        <w:rPr>
          <w:rFonts w:hint="eastAsia" w:ascii="仿宋_GB2312" w:hAnsi="仿宋_GB2312" w:eastAsia="仿宋_GB2312" w:cs="仿宋_GB2312"/>
          <w:b/>
          <w:bCs/>
          <w:color w:val="auto"/>
          <w:sz w:val="32"/>
          <w:szCs w:val="32"/>
        </w:rPr>
        <w:t>自然资源分局</w:t>
      </w:r>
      <w:r>
        <w:rPr>
          <w:rFonts w:hint="eastAsia" w:ascii="仿宋_GB2312" w:hAnsi="仿宋_GB2312" w:eastAsia="仿宋_GB2312" w:cs="仿宋_GB2312"/>
          <w:color w:val="auto"/>
          <w:sz w:val="32"/>
          <w:szCs w:val="32"/>
        </w:rPr>
        <w:t>：共享森林草原资源及地质基础信息，满足森林草原火灾扑救需要。</w:t>
      </w:r>
    </w:p>
    <w:p>
      <w:pPr>
        <w:pageBreakBefore w:val="0"/>
        <w:widowControl w:val="0"/>
        <w:kinsoku/>
        <w:wordWrap/>
        <w:overflowPunct/>
        <w:topLinePunct w:val="0"/>
        <w:autoSpaceDE/>
        <w:autoSpaceDN/>
        <w:bidi w:val="0"/>
        <w:spacing w:line="360" w:lineRule="auto"/>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住房和城乡建设</w:t>
      </w:r>
      <w:r>
        <w:rPr>
          <w:rFonts w:hint="eastAsia" w:ascii="仿宋_GB2312" w:hAnsi="仿宋_GB2312" w:eastAsia="仿宋_GB2312" w:cs="仿宋_GB2312"/>
          <w:b/>
          <w:bCs/>
          <w:color w:val="auto"/>
          <w:sz w:val="32"/>
          <w:szCs w:val="32"/>
        </w:rPr>
        <w:t>局：</w:t>
      </w:r>
      <w:r>
        <w:rPr>
          <w:rFonts w:hint="eastAsia" w:ascii="仿宋_GB2312" w:hAnsi="仿宋_GB2312" w:eastAsia="仿宋_GB2312" w:cs="仿宋_GB2312"/>
          <w:color w:val="auto"/>
          <w:sz w:val="32"/>
          <w:szCs w:val="32"/>
        </w:rPr>
        <w:t>负责支持森林草原防灭火重点项目及其配套设施建设审批申报工作；负责做好林区、生态工程区、草原周边及林区、生态工程区、草原内的建设工地的用火监督检查工作；负责灾后</w:t>
      </w:r>
      <w:r>
        <w:rPr>
          <w:rFonts w:hint="eastAsia" w:ascii="仿宋_GB2312" w:hAnsi="仿宋_GB2312" w:eastAsia="仿宋_GB2312" w:cs="仿宋_GB2312"/>
          <w:color w:val="auto"/>
          <w:sz w:val="32"/>
          <w:szCs w:val="32"/>
          <w:lang w:eastAsia="zh-CN"/>
        </w:rPr>
        <w:t>镇（街道）</w:t>
      </w:r>
      <w:r>
        <w:rPr>
          <w:rFonts w:hint="eastAsia" w:ascii="仿宋_GB2312" w:hAnsi="仿宋_GB2312" w:eastAsia="仿宋_GB2312" w:cs="仿宋_GB2312"/>
          <w:color w:val="auto"/>
          <w:sz w:val="32"/>
          <w:szCs w:val="32"/>
        </w:rPr>
        <w:t>重建规划及保障受灾地区人员安置等工作。</w:t>
      </w:r>
    </w:p>
    <w:p>
      <w:pPr>
        <w:pageBreakBefore w:val="0"/>
        <w:widowControl w:val="0"/>
        <w:kinsoku/>
        <w:wordWrap/>
        <w:overflowPunct/>
        <w:topLinePunct w:val="0"/>
        <w:autoSpaceDE/>
        <w:autoSpaceDN/>
        <w:bidi w:val="0"/>
        <w:spacing w:line="360" w:lineRule="auto"/>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农牧水利局：</w:t>
      </w:r>
      <w:r>
        <w:rPr>
          <w:rFonts w:hint="eastAsia" w:ascii="仿宋_GB2312" w:hAnsi="仿宋_GB2312" w:eastAsia="仿宋_GB2312" w:cs="仿宋_GB2312"/>
          <w:color w:val="auto"/>
          <w:sz w:val="32"/>
          <w:szCs w:val="32"/>
        </w:rPr>
        <w:t>负责加强农区野外安全用火的宣传教育及监督管理等工作，提高农牧民防火意识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负责检查制止烧秸秆行为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负责协调保障森林草原火灾扑救人员和物资的紧急运输；协调执行扑火任务车辆公路通行事宜；组织协调因灾中断的道路及临时便道的抢修和道路修复畅通。</w:t>
      </w:r>
    </w:p>
    <w:p>
      <w:pPr>
        <w:pageBreakBefore w:val="0"/>
        <w:widowControl w:val="0"/>
        <w:kinsoku/>
        <w:wordWrap/>
        <w:overflowPunct/>
        <w:topLinePunct w:val="0"/>
        <w:autoSpaceDE/>
        <w:autoSpaceDN/>
        <w:bidi w:val="0"/>
        <w:spacing w:line="360" w:lineRule="auto"/>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文体</w:t>
      </w:r>
      <w:r>
        <w:rPr>
          <w:rFonts w:hint="eastAsia" w:ascii="仿宋_GB2312" w:hAnsi="仿宋_GB2312" w:eastAsia="仿宋_GB2312" w:cs="仿宋_GB2312"/>
          <w:b/>
          <w:bCs/>
          <w:color w:val="auto"/>
          <w:sz w:val="32"/>
          <w:szCs w:val="32"/>
          <w:lang w:val="en-US" w:eastAsia="zh-CN"/>
        </w:rPr>
        <w:t>旅游</w:t>
      </w:r>
      <w:r>
        <w:rPr>
          <w:rFonts w:hint="eastAsia" w:ascii="仿宋_GB2312" w:hAnsi="仿宋_GB2312" w:eastAsia="仿宋_GB2312" w:cs="仿宋_GB2312"/>
          <w:b/>
          <w:bCs/>
          <w:color w:val="auto"/>
          <w:sz w:val="32"/>
          <w:szCs w:val="32"/>
        </w:rPr>
        <w:t>广电局：</w:t>
      </w:r>
      <w:r>
        <w:rPr>
          <w:rFonts w:hint="eastAsia" w:ascii="仿宋_GB2312" w:hAnsi="仿宋_GB2312" w:eastAsia="仿宋_GB2312" w:cs="仿宋_GB2312"/>
          <w:color w:val="auto"/>
          <w:sz w:val="32"/>
          <w:szCs w:val="32"/>
        </w:rPr>
        <w:t>负责督促旅游景区做好森林草原防火宣传和防灭火措施工作落实，</w:t>
      </w:r>
      <w:r>
        <w:rPr>
          <w:rFonts w:hint="eastAsia" w:ascii="仿宋_GB2312" w:hAnsi="仿宋_GB2312" w:eastAsia="仿宋_GB2312" w:cs="仿宋_GB2312"/>
          <w:color w:val="auto"/>
          <w:sz w:val="32"/>
          <w:szCs w:val="32"/>
          <w:lang w:eastAsia="zh-CN"/>
        </w:rPr>
        <w:t>制定</w:t>
      </w:r>
      <w:r>
        <w:rPr>
          <w:rFonts w:hint="eastAsia" w:ascii="仿宋_GB2312" w:hAnsi="仿宋_GB2312" w:eastAsia="仿宋_GB2312" w:cs="仿宋_GB2312"/>
          <w:color w:val="auto"/>
          <w:sz w:val="32"/>
          <w:szCs w:val="32"/>
        </w:rPr>
        <w:t>火灾应急预案并组织实施演练；对旅游景区森林草原防火工作进行监督检查；根据需要，协调做好旅游景区安全保卫和疏导等相关工作；</w:t>
      </w:r>
      <w:r>
        <w:rPr>
          <w:rFonts w:hint="eastAsia" w:ascii="仿宋_GB2312" w:hAnsi="仿宋_GB2312" w:eastAsia="仿宋_GB2312" w:cs="仿宋_GB2312"/>
          <w:bCs/>
          <w:color w:val="auto"/>
          <w:sz w:val="32"/>
          <w:szCs w:val="32"/>
        </w:rPr>
        <w:t>负责协助发布景区灾害预警信息，负责</w:t>
      </w:r>
      <w:r>
        <w:rPr>
          <w:rFonts w:hint="eastAsia" w:ascii="仿宋_GB2312" w:hAnsi="仿宋_GB2312" w:eastAsia="仿宋_GB2312" w:cs="仿宋_GB2312"/>
          <w:bCs/>
          <w:color w:val="auto"/>
          <w:sz w:val="32"/>
          <w:szCs w:val="32"/>
          <w:lang w:val="en-US" w:eastAsia="zh-CN"/>
        </w:rPr>
        <w:t>本</w:t>
      </w:r>
      <w:r>
        <w:rPr>
          <w:rFonts w:hint="eastAsia" w:ascii="仿宋_GB2312" w:hAnsi="仿宋_GB2312" w:eastAsia="仿宋_GB2312" w:cs="仿宋_GB2312"/>
          <w:bCs/>
          <w:color w:val="auto"/>
          <w:sz w:val="32"/>
          <w:szCs w:val="32"/>
        </w:rPr>
        <w:t>区旅游行业受灾情况统计报告，负责指导灾区广播、电视系统设施的应急抢修和恢复重建工作</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负责统计报告</w:t>
      </w:r>
      <w:r>
        <w:rPr>
          <w:rFonts w:hint="eastAsia" w:ascii="仿宋_GB2312" w:hAnsi="仿宋_GB2312" w:eastAsia="仿宋_GB2312" w:cs="仿宋_GB2312"/>
          <w:bCs/>
          <w:color w:val="auto"/>
          <w:sz w:val="32"/>
          <w:szCs w:val="32"/>
          <w:lang w:val="en-US" w:eastAsia="zh-CN"/>
        </w:rPr>
        <w:t>本</w:t>
      </w:r>
      <w:r>
        <w:rPr>
          <w:rFonts w:hint="eastAsia" w:ascii="仿宋_GB2312" w:hAnsi="仿宋_GB2312" w:eastAsia="仿宋_GB2312" w:cs="仿宋_GB2312"/>
          <w:bCs/>
          <w:color w:val="auto"/>
          <w:sz w:val="32"/>
          <w:szCs w:val="32"/>
        </w:rPr>
        <w:t>区广电领域受灾情况；</w:t>
      </w:r>
      <w:r>
        <w:rPr>
          <w:rFonts w:hint="eastAsia" w:ascii="仿宋_GB2312" w:hAnsi="仿宋_GB2312" w:eastAsia="仿宋_GB2312" w:cs="仿宋_GB2312"/>
          <w:color w:val="auto"/>
          <w:sz w:val="32"/>
          <w:szCs w:val="32"/>
        </w:rPr>
        <w:t>指导旅行社、导游、体育运动主办方对游客、体育活动参与者开展森林草原防灭火知识宣传教育。</w:t>
      </w:r>
    </w:p>
    <w:p>
      <w:pPr>
        <w:pageBreakBefore w:val="0"/>
        <w:widowControl w:val="0"/>
        <w:kinsoku/>
        <w:wordWrap/>
        <w:overflowPunct/>
        <w:topLinePunct w:val="0"/>
        <w:autoSpaceDE/>
        <w:autoSpaceDN/>
        <w:bidi w:val="0"/>
        <w:spacing w:line="360" w:lineRule="auto"/>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卫生健康委员会</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负责紧急医疗支援、卫生防疫、受伤人员的救治工作，调集救灾药品和医疗器械；指导</w:t>
      </w: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区医院和乡镇卫生院制定森林草原火灾伤员的抢救预案，储备救灾必要的救护药品和医疗器械。</w:t>
      </w:r>
    </w:p>
    <w:p>
      <w:pPr>
        <w:pageBreakBefore w:val="0"/>
        <w:widowControl w:val="0"/>
        <w:kinsoku/>
        <w:wordWrap/>
        <w:overflowPunct/>
        <w:topLinePunct w:val="0"/>
        <w:autoSpaceDE/>
        <w:autoSpaceDN/>
        <w:bidi w:val="0"/>
        <w:spacing w:line="360" w:lineRule="auto"/>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新城供电分</w:t>
      </w:r>
      <w:r>
        <w:rPr>
          <w:rFonts w:hint="eastAsia" w:ascii="仿宋_GB2312" w:hAnsi="仿宋_GB2312" w:eastAsia="仿宋_GB2312" w:cs="仿宋_GB2312"/>
          <w:b/>
          <w:bCs/>
          <w:color w:val="auto"/>
          <w:sz w:val="32"/>
          <w:szCs w:val="32"/>
          <w:lang w:val="en-US" w:eastAsia="zh-CN"/>
        </w:rPr>
        <w:t>公司</w:t>
      </w:r>
      <w:r>
        <w:rPr>
          <w:rFonts w:hint="eastAsia" w:ascii="仿宋_GB2312" w:hAnsi="仿宋_GB2312" w:eastAsia="仿宋_GB2312" w:cs="仿宋_GB2312"/>
          <w:b/>
          <w:bCs/>
          <w:color w:val="auto"/>
          <w:sz w:val="32"/>
          <w:szCs w:val="32"/>
        </w:rPr>
        <w:t>和鸿盛供电分</w:t>
      </w:r>
      <w:r>
        <w:rPr>
          <w:rFonts w:hint="eastAsia" w:ascii="仿宋_GB2312" w:hAnsi="仿宋_GB2312" w:eastAsia="仿宋_GB2312" w:cs="仿宋_GB2312"/>
          <w:b/>
          <w:bCs/>
          <w:color w:val="auto"/>
          <w:sz w:val="32"/>
          <w:szCs w:val="32"/>
          <w:lang w:val="en-US" w:eastAsia="zh-CN"/>
        </w:rPr>
        <w:t>公司</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负责林区及重点防火地段的电力设施设备维修检修，防止电线短路打火引发森林草原火灾，遇特殊情况配合有关部门对特定区域进行断电作业，确保森林草原火灾隐患降到最低；负责做好森林草原火灾中可能引发的电路突发事件风险辨识与预防等工作。</w:t>
      </w:r>
    </w:p>
    <w:p>
      <w:pPr>
        <w:pageBreakBefore w:val="0"/>
        <w:widowControl w:val="0"/>
        <w:kinsoku/>
        <w:wordWrap/>
        <w:overflowPunct/>
        <w:topLinePunct w:val="0"/>
        <w:autoSpaceDE/>
        <w:autoSpaceDN/>
        <w:bidi w:val="0"/>
        <w:spacing w:line="360" w:lineRule="auto"/>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城市管理综合执法局：</w:t>
      </w:r>
      <w:r>
        <w:rPr>
          <w:rFonts w:hint="eastAsia" w:ascii="仿宋_GB2312" w:hAnsi="仿宋_GB2312" w:eastAsia="仿宋_GB2312" w:cs="仿宋_GB2312"/>
          <w:color w:val="auto"/>
          <w:sz w:val="32"/>
          <w:szCs w:val="32"/>
        </w:rPr>
        <w:t>负责组织指导城管队伍做好防扑火知识和技能训练工作，必要时组织调动城管队伍作为扑火梯队，积极参与森林草原火灾扑救工作。</w:t>
      </w:r>
    </w:p>
    <w:p>
      <w:pPr>
        <w:pageBreakBefore w:val="0"/>
        <w:widowControl w:val="0"/>
        <w:kinsoku/>
        <w:wordWrap/>
        <w:overflowPunct/>
        <w:topLinePunct w:val="0"/>
        <w:autoSpaceDE/>
        <w:autoSpaceDN/>
        <w:bidi w:val="0"/>
        <w:spacing w:line="36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消防救援大队</w:t>
      </w:r>
      <w:r>
        <w:rPr>
          <w:rFonts w:hint="eastAsia" w:ascii="仿宋_GB2312" w:hAnsi="仿宋_GB2312" w:eastAsia="仿宋_GB2312" w:cs="仿宋_GB2312"/>
          <w:color w:val="auto"/>
          <w:sz w:val="32"/>
          <w:szCs w:val="32"/>
        </w:rPr>
        <w:t>：积极配合地方开展森林草原火灾的预防和扑救工作，协助地方开展消防知识和业务技能培训等。</w:t>
      </w:r>
    </w:p>
    <w:p>
      <w:pPr>
        <w:pageBreakBefore w:val="0"/>
        <w:widowControl w:val="0"/>
        <w:kinsoku/>
        <w:wordWrap/>
        <w:overflowPunct/>
        <w:topLinePunct w:val="0"/>
        <w:autoSpaceDE/>
        <w:autoSpaceDN/>
        <w:bidi w:val="0"/>
        <w:spacing w:line="360" w:lineRule="auto"/>
        <w:ind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内蒙古森林消防总队特勤大队：</w:t>
      </w:r>
      <w:r>
        <w:rPr>
          <w:rStyle w:val="24"/>
          <w:rFonts w:hint="eastAsia" w:ascii="仿宋_GB2312" w:hAnsi="仿宋_GB2312" w:eastAsia="仿宋_GB2312" w:cs="仿宋_GB2312"/>
          <w:color w:val="auto"/>
          <w:sz w:val="32"/>
          <w:szCs w:val="32"/>
        </w:rPr>
        <w:t>负责科学规划森林消防队伍兵力配置和布防，配合地方组织开展森林草原防火宣传、巡护检查、野外火源管理等预防工作；负责组织、调动、指挥森林消防队伍执行森林草原火灾扑救工作，并参加火场联合指挥机构，协助做好火灾扑救等相关工作。</w:t>
      </w:r>
    </w:p>
    <w:p>
      <w:pPr>
        <w:pageBreakBefore w:val="0"/>
        <w:widowControl w:val="0"/>
        <w:kinsoku/>
        <w:wordWrap/>
        <w:overflowPunct/>
        <w:topLinePunct w:val="0"/>
        <w:autoSpaceDE/>
        <w:autoSpaceDN/>
        <w:bidi w:val="0"/>
        <w:spacing w:line="36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古路板管理站：</w:t>
      </w:r>
      <w:r>
        <w:rPr>
          <w:rFonts w:hint="eastAsia" w:ascii="仿宋_GB2312" w:hAnsi="仿宋_GB2312" w:eastAsia="仿宋_GB2312" w:cs="仿宋_GB2312"/>
          <w:color w:val="auto"/>
          <w:sz w:val="32"/>
          <w:szCs w:val="32"/>
        </w:rPr>
        <w:t>按要求成立相应的森林草原防灭火指挥部及现场指挥机构，负责本辖区的森林草原火灾扑救工作，负责组织、协调处置本辖区内发生的森林草原火灾扑救工作。组织受火灾群众安全转移，做好受灾群众安抚及安置工作，组织人员看守火场，清理余火，防止“死灰复燃”；要设立专职防火工作人员和火情观察员，负责火情的报告。</w:t>
      </w:r>
      <w:r>
        <w:rPr>
          <w:rFonts w:hint="eastAsia" w:ascii="仿宋_GB2312" w:hAnsi="仿宋_GB2312" w:eastAsia="仿宋_GB2312" w:cs="仿宋_GB2312"/>
          <w:color w:val="auto"/>
          <w:sz w:val="32"/>
          <w:szCs w:val="32"/>
          <w:lang w:val="en-US" w:eastAsia="zh-CN"/>
        </w:rPr>
        <w:t>与</w:t>
      </w:r>
      <w:r>
        <w:rPr>
          <w:rFonts w:hint="eastAsia" w:ascii="仿宋_GB2312" w:hAnsi="仿宋_GB2312" w:eastAsia="仿宋_GB2312" w:cs="仿宋_GB2312"/>
          <w:color w:val="auto"/>
          <w:sz w:val="32"/>
          <w:szCs w:val="32"/>
        </w:rPr>
        <w:t>相邻</w:t>
      </w:r>
      <w:r>
        <w:rPr>
          <w:rFonts w:hint="eastAsia" w:ascii="仿宋_GB2312" w:hAnsi="仿宋_GB2312" w:eastAsia="仿宋_GB2312" w:cs="仿宋_GB2312"/>
          <w:color w:val="auto"/>
          <w:sz w:val="32"/>
          <w:szCs w:val="32"/>
          <w:lang w:eastAsia="zh-CN"/>
        </w:rPr>
        <w:t>镇（街道）</w:t>
      </w:r>
      <w:r>
        <w:rPr>
          <w:rFonts w:hint="eastAsia" w:ascii="仿宋_GB2312" w:hAnsi="仿宋_GB2312" w:eastAsia="仿宋_GB2312" w:cs="仿宋_GB2312"/>
          <w:color w:val="auto"/>
          <w:sz w:val="32"/>
          <w:szCs w:val="32"/>
        </w:rPr>
        <w:t>之间要建立森林草原防灭火联防机制和制度，确定联防区域，实行信息共享。</w:t>
      </w:r>
    </w:p>
    <w:p>
      <w:pPr>
        <w:pageBreakBefore w:val="0"/>
        <w:widowControl w:val="0"/>
        <w:kinsoku/>
        <w:wordWrap/>
        <w:overflowPunct/>
        <w:topLinePunct w:val="0"/>
        <w:autoSpaceDE/>
        <w:autoSpaceDN/>
        <w:bidi w:val="0"/>
        <w:spacing w:line="360" w:lineRule="auto"/>
        <w:ind w:firstLine="643"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保和少镇、成吉思汗大街街道办事处</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按要求成立相应的森林草原防灭火指挥部及现场指挥机构，负责本辖区的森林草原火灾扑救工作，负责组织、协调处置本辖区内发生的森林草原火灾扑救工作。组织受火灾群众安全转移，做好受灾群众安抚及安置工作，组织人员看守火场，清理余火，防止“死灰复燃”；要设立专职防火工作人员和火情观察员，负责火情的报告。相邻</w:t>
      </w:r>
      <w:r>
        <w:rPr>
          <w:rFonts w:hint="eastAsia" w:ascii="仿宋_GB2312" w:hAnsi="仿宋_GB2312" w:eastAsia="仿宋_GB2312" w:cs="仿宋_GB2312"/>
          <w:color w:val="auto"/>
          <w:sz w:val="32"/>
          <w:szCs w:val="32"/>
          <w:lang w:eastAsia="zh-CN"/>
        </w:rPr>
        <w:t>镇（街道）</w:t>
      </w:r>
      <w:r>
        <w:rPr>
          <w:rFonts w:hint="eastAsia" w:ascii="仿宋_GB2312" w:hAnsi="仿宋_GB2312" w:eastAsia="仿宋_GB2312" w:cs="仿宋_GB2312"/>
          <w:color w:val="auto"/>
          <w:sz w:val="32"/>
          <w:szCs w:val="32"/>
        </w:rPr>
        <w:t>之间要建立森林草原防灭火联防机制和制度，确定联防区域，实行信息共享。</w:t>
      </w:r>
    </w:p>
    <w:p>
      <w:pPr>
        <w:pageBreakBefore w:val="0"/>
        <w:widowControl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各成员单位除承担上述职责外，还应根据区委、</w:t>
      </w:r>
      <w:r>
        <w:rPr>
          <w:rFonts w:hint="eastAsia" w:ascii="仿宋_GB2312" w:hAnsi="仿宋_GB2312" w:eastAsia="仿宋_GB2312" w:cs="仿宋_GB2312"/>
          <w:color w:val="auto"/>
          <w:sz w:val="32"/>
          <w:szCs w:val="32"/>
          <w:lang w:val="en-US" w:eastAsia="zh-CN"/>
        </w:rPr>
        <w:t>区人民</w:t>
      </w:r>
      <w:r>
        <w:rPr>
          <w:rFonts w:hint="eastAsia" w:ascii="仿宋_GB2312" w:hAnsi="仿宋_GB2312" w:eastAsia="仿宋_GB2312" w:cs="仿宋_GB2312"/>
          <w:color w:val="auto"/>
          <w:sz w:val="32"/>
          <w:szCs w:val="32"/>
        </w:rPr>
        <w:t>政府和</w:t>
      </w:r>
      <w:r>
        <w:rPr>
          <w:rFonts w:hint="eastAsia" w:ascii="仿宋_GB2312" w:hAnsi="仿宋_GB2312" w:eastAsia="仿宋_GB2312" w:cs="仿宋_GB2312"/>
          <w:color w:val="auto"/>
          <w:sz w:val="32"/>
          <w:szCs w:val="32"/>
          <w:lang w:val="en-US" w:eastAsia="zh-CN"/>
        </w:rPr>
        <w:t>区森防指</w:t>
      </w:r>
      <w:r>
        <w:rPr>
          <w:rFonts w:hint="eastAsia" w:ascii="仿宋_GB2312" w:hAnsi="仿宋_GB2312" w:eastAsia="仿宋_GB2312" w:cs="仿宋_GB2312"/>
          <w:color w:val="auto"/>
          <w:sz w:val="32"/>
          <w:szCs w:val="32"/>
        </w:rPr>
        <w:t>的要求，承担与其职责相关的其他工作</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outlineLvl w:val="1"/>
        <w:rPr>
          <w:rFonts w:hint="eastAsia" w:ascii="黑体" w:eastAsia="黑体"/>
          <w:bCs/>
          <w:color w:val="auto"/>
          <w:kern w:val="44"/>
          <w:sz w:val="32"/>
          <w:szCs w:val="44"/>
          <w:lang w:val="en-US" w:eastAsia="zh-CN"/>
        </w:rPr>
      </w:pPr>
      <w:bookmarkStart w:id="111" w:name="_Toc32664"/>
      <w:bookmarkStart w:id="112" w:name="_Toc14112"/>
      <w:bookmarkStart w:id="113" w:name="_Toc17418"/>
      <w:r>
        <w:rPr>
          <w:rFonts w:hint="eastAsia" w:ascii="黑体" w:eastAsia="黑体"/>
          <w:bCs/>
          <w:color w:val="auto"/>
          <w:kern w:val="44"/>
          <w:sz w:val="32"/>
          <w:szCs w:val="44"/>
          <w:lang w:val="en-US" w:eastAsia="zh-CN"/>
        </w:rPr>
        <w:t>3.2 扑火指挥</w:t>
      </w:r>
      <w:bookmarkEnd w:id="111"/>
      <w:bookmarkEnd w:id="112"/>
      <w:bookmarkEnd w:id="113"/>
    </w:p>
    <w:p>
      <w:pPr>
        <w:pageBreakBefore w:val="0"/>
        <w:widowControl w:val="0"/>
        <w:kinsoku/>
        <w:wordWrap/>
        <w:overflowPunct/>
        <w:topLinePunct w:val="0"/>
        <w:autoSpaceDE/>
        <w:autoSpaceDN/>
        <w:bidi w:val="0"/>
        <w:spacing w:line="360" w:lineRule="auto"/>
        <w:ind w:firstLine="640" w:firstLineChars="200"/>
        <w:textAlignment w:val="auto"/>
        <w:rPr>
          <w:rFonts w:ascii="宋体" w:hAnsi="宋体" w:eastAsia="仿宋_GB2312"/>
          <w:color w:val="auto"/>
          <w:sz w:val="32"/>
          <w:szCs w:val="32"/>
        </w:rPr>
      </w:pPr>
      <w:r>
        <w:rPr>
          <w:rFonts w:hint="eastAsia" w:ascii="宋体" w:hAnsi="宋体" w:eastAsia="仿宋_GB2312"/>
          <w:color w:val="auto"/>
          <w:sz w:val="32"/>
          <w:szCs w:val="32"/>
        </w:rPr>
        <w:t>根据森林草原火灾燃烧部位、蔓延速度、受害部位和程度，初步判断火情；先期处置由火灾发生地保和少镇、</w:t>
      </w:r>
      <w:r>
        <w:rPr>
          <w:rFonts w:hint="eastAsia" w:ascii="宋体" w:hAnsi="宋体" w:eastAsia="仿宋_GB2312"/>
          <w:color w:val="auto"/>
          <w:sz w:val="32"/>
          <w:szCs w:val="32"/>
          <w:lang w:val="en-US" w:eastAsia="zh-CN"/>
        </w:rPr>
        <w:t>成吉思汗街道办事处</w:t>
      </w:r>
      <w:r>
        <w:rPr>
          <w:rFonts w:hint="eastAsia" w:ascii="宋体" w:hAnsi="宋体" w:eastAsia="仿宋_GB2312"/>
          <w:color w:val="auto"/>
          <w:sz w:val="32"/>
          <w:szCs w:val="32"/>
        </w:rPr>
        <w:t>和</w:t>
      </w:r>
      <w:r>
        <w:rPr>
          <w:rFonts w:hint="eastAsia" w:ascii="宋体" w:hAnsi="宋体" w:eastAsia="仿宋_GB2312"/>
          <w:color w:val="auto"/>
          <w:sz w:val="32"/>
          <w:szCs w:val="32"/>
          <w:lang w:val="en-US" w:eastAsia="zh-CN"/>
        </w:rPr>
        <w:t>古路板管理站</w:t>
      </w:r>
      <w:r>
        <w:rPr>
          <w:rFonts w:hint="eastAsia" w:ascii="宋体" w:hAnsi="宋体" w:eastAsia="仿宋_GB2312"/>
          <w:color w:val="auto"/>
          <w:sz w:val="32"/>
          <w:szCs w:val="32"/>
        </w:rPr>
        <w:t>负责组织灭火，符合本预案启动条件的森林草原火灾，由区森防指按照规定统一负责指挥。各级森林草原防灭火指挥</w:t>
      </w:r>
      <w:r>
        <w:rPr>
          <w:rFonts w:hint="eastAsia" w:ascii="宋体" w:hAnsi="宋体" w:eastAsia="仿宋_GB2312"/>
          <w:color w:val="auto"/>
          <w:sz w:val="32"/>
          <w:szCs w:val="32"/>
          <w:lang w:val="en-US" w:eastAsia="zh-CN"/>
        </w:rPr>
        <w:t>部</w:t>
      </w:r>
      <w:r>
        <w:rPr>
          <w:rFonts w:hint="eastAsia" w:ascii="宋体" w:hAnsi="宋体" w:eastAsia="仿宋_GB2312"/>
          <w:color w:val="auto"/>
          <w:sz w:val="32"/>
          <w:szCs w:val="32"/>
        </w:rPr>
        <w:t>根据火场实际，在森林草原火灾现场成立前线指挥部。参加前方扑火的单位和个人要服从前线指挥部的统一指挥。</w:t>
      </w:r>
    </w:p>
    <w:p>
      <w:pPr>
        <w:pStyle w:val="12"/>
        <w:pageBreakBefore w:val="0"/>
        <w:widowControl w:val="0"/>
        <w:kinsoku/>
        <w:wordWrap/>
        <w:overflowPunct/>
        <w:topLinePunct w:val="0"/>
        <w:autoSpaceDE/>
        <w:autoSpaceDN/>
        <w:bidi w:val="0"/>
        <w:spacing w:beforeAutospacing="0" w:afterAutospacing="0" w:line="360" w:lineRule="auto"/>
        <w:ind w:firstLine="640" w:firstLineChars="200"/>
        <w:textAlignment w:val="auto"/>
        <w:rPr>
          <w:rFonts w:eastAsia="仿宋_GB2312" w:cstheme="minorBidi"/>
          <w:color w:val="auto"/>
          <w:kern w:val="2"/>
          <w:sz w:val="32"/>
          <w:szCs w:val="22"/>
        </w:rPr>
      </w:pPr>
      <w:r>
        <w:rPr>
          <w:rFonts w:hint="eastAsia" w:ascii="宋体" w:hAnsi="宋体" w:eastAsia="仿宋_GB2312"/>
          <w:color w:val="auto"/>
          <w:sz w:val="32"/>
          <w:szCs w:val="32"/>
        </w:rPr>
        <w:t>部队和民兵执行森林火灾扑救任务，依照军队有关规定执行，由军队根据前线指挥部制定的扑救方案负责指挥具体行动。森林火灾扑救过程中，均应制定应急避险预案，明确撤离路线和示警信号，一旦遭遇险情，及时启动应急避险预案，迅速、高效、安全实施紧急避险和营救行动；</w:t>
      </w:r>
      <w:r>
        <w:rPr>
          <w:rFonts w:hint="eastAsia" w:eastAsia="仿宋_GB2312" w:cstheme="minorBidi"/>
          <w:color w:val="auto"/>
          <w:kern w:val="2"/>
          <w:sz w:val="32"/>
          <w:szCs w:val="22"/>
        </w:rPr>
        <w:t>军队执行森林草原火灾扑救任务，依照《军队参加抢险救灾条例》的有关规定执行。</w:t>
      </w:r>
    </w:p>
    <w:p>
      <w:pPr>
        <w:pStyle w:val="12"/>
        <w:pageBreakBefore w:val="0"/>
        <w:widowControl w:val="0"/>
        <w:kinsoku/>
        <w:wordWrap/>
        <w:overflowPunct/>
        <w:topLinePunct w:val="0"/>
        <w:autoSpaceDE/>
        <w:autoSpaceDN/>
        <w:bidi w:val="0"/>
        <w:spacing w:beforeAutospacing="0" w:afterAutospacing="0" w:line="360" w:lineRule="auto"/>
        <w:ind w:firstLine="640" w:firstLineChars="200"/>
        <w:textAlignment w:val="auto"/>
        <w:rPr>
          <w:rFonts w:hint="eastAsia" w:ascii="宋体" w:hAnsi="宋体" w:eastAsia="仿宋_GB2312"/>
          <w:color w:val="auto"/>
          <w:sz w:val="32"/>
          <w:szCs w:val="32"/>
          <w:highlight w:val="none"/>
          <w:lang w:eastAsia="zh-CN"/>
        </w:rPr>
      </w:pPr>
      <w:r>
        <w:rPr>
          <w:rFonts w:hint="eastAsia" w:ascii="宋体" w:hAnsi="宋体" w:eastAsia="仿宋_GB2312"/>
          <w:color w:val="auto"/>
          <w:sz w:val="32"/>
          <w:szCs w:val="32"/>
          <w:highlight w:val="none"/>
        </w:rPr>
        <w:t>新城区内跨行政区域的</w:t>
      </w:r>
      <w:r>
        <w:rPr>
          <w:rFonts w:hint="eastAsia" w:ascii="宋体" w:hAnsi="宋体" w:eastAsia="仿宋_GB2312"/>
          <w:color w:val="auto"/>
          <w:sz w:val="32"/>
          <w:szCs w:val="32"/>
          <w:highlight w:val="none"/>
          <w:lang w:val="en-US" w:eastAsia="zh-CN"/>
        </w:rPr>
        <w:t>一般</w:t>
      </w:r>
      <w:r>
        <w:rPr>
          <w:rFonts w:hint="eastAsia" w:ascii="宋体" w:hAnsi="宋体" w:eastAsia="仿宋_GB2312"/>
          <w:color w:val="auto"/>
          <w:sz w:val="32"/>
          <w:szCs w:val="32"/>
          <w:highlight w:val="none"/>
        </w:rPr>
        <w:t>以上森林火灾，</w:t>
      </w:r>
      <w:r>
        <w:rPr>
          <w:rFonts w:hint="eastAsia" w:ascii="宋体" w:hAnsi="宋体" w:eastAsia="仿宋_GB2312"/>
          <w:color w:val="auto"/>
          <w:sz w:val="32"/>
          <w:szCs w:val="32"/>
          <w:highlight w:val="none"/>
          <w:lang w:val="en-US" w:eastAsia="zh-CN"/>
        </w:rPr>
        <w:t>及时报告区森防指</w:t>
      </w:r>
      <w:r>
        <w:rPr>
          <w:rFonts w:hint="eastAsia" w:ascii="宋体" w:hAnsi="宋体" w:eastAsia="仿宋_GB2312"/>
          <w:color w:val="auto"/>
          <w:sz w:val="32"/>
          <w:szCs w:val="32"/>
          <w:highlight w:val="none"/>
          <w:lang w:eastAsia="zh-CN"/>
        </w:rPr>
        <w:t>，</w:t>
      </w:r>
      <w:r>
        <w:rPr>
          <w:rFonts w:hint="eastAsia" w:ascii="宋体" w:hAnsi="宋体" w:eastAsia="仿宋_GB2312"/>
          <w:color w:val="auto"/>
          <w:sz w:val="32"/>
          <w:szCs w:val="32"/>
          <w:highlight w:val="none"/>
          <w:lang w:val="en-US" w:eastAsia="zh-CN"/>
        </w:rPr>
        <w:t>由区森防指</w:t>
      </w:r>
      <w:r>
        <w:rPr>
          <w:rFonts w:hint="eastAsia" w:ascii="宋体" w:hAnsi="宋体" w:eastAsia="仿宋_GB2312"/>
          <w:color w:val="auto"/>
          <w:sz w:val="32"/>
          <w:szCs w:val="32"/>
          <w:highlight w:val="none"/>
        </w:rPr>
        <w:t>协调各方实施</w:t>
      </w:r>
      <w:r>
        <w:rPr>
          <w:rFonts w:hint="eastAsia" w:ascii="宋体" w:hAnsi="宋体" w:eastAsia="仿宋_GB2312"/>
          <w:color w:val="auto"/>
          <w:sz w:val="32"/>
          <w:szCs w:val="32"/>
          <w:highlight w:val="none"/>
          <w:lang w:val="en-US" w:eastAsia="zh-CN"/>
        </w:rPr>
        <w:t>扑火行动</w:t>
      </w:r>
      <w:r>
        <w:rPr>
          <w:rFonts w:hint="eastAsia" w:ascii="宋体" w:hAnsi="宋体" w:eastAsia="仿宋_GB2312"/>
          <w:color w:val="auto"/>
          <w:sz w:val="32"/>
          <w:szCs w:val="32"/>
          <w:highlight w:val="none"/>
          <w:lang w:eastAsia="zh-CN"/>
        </w:rPr>
        <w:t>；</w:t>
      </w:r>
      <w:r>
        <w:rPr>
          <w:rFonts w:hint="eastAsia" w:ascii="宋体" w:hAnsi="宋体" w:eastAsia="仿宋_GB2312"/>
          <w:color w:val="auto"/>
          <w:sz w:val="32"/>
          <w:szCs w:val="32"/>
          <w:highlight w:val="none"/>
        </w:rPr>
        <w:t>区森防指办公室要及时与保和少镇、</w:t>
      </w:r>
      <w:r>
        <w:rPr>
          <w:rFonts w:hint="eastAsia" w:ascii="宋体" w:hAnsi="宋体" w:eastAsia="仿宋_GB2312"/>
          <w:color w:val="auto"/>
          <w:sz w:val="32"/>
          <w:szCs w:val="32"/>
          <w:highlight w:val="none"/>
          <w:lang w:eastAsia="zh-CN"/>
        </w:rPr>
        <w:t>成吉思汗大街街道办事处、</w:t>
      </w:r>
      <w:r>
        <w:rPr>
          <w:rFonts w:hint="eastAsia" w:ascii="宋体" w:hAnsi="宋体" w:eastAsia="仿宋_GB2312"/>
          <w:color w:val="auto"/>
          <w:sz w:val="32"/>
          <w:szCs w:val="32"/>
          <w:lang w:eastAsia="zh-CN"/>
        </w:rPr>
        <w:t>古路板管理站</w:t>
      </w:r>
      <w:r>
        <w:rPr>
          <w:rFonts w:hint="eastAsia" w:ascii="宋体" w:hAnsi="宋体" w:eastAsia="仿宋_GB2312"/>
          <w:color w:val="auto"/>
          <w:sz w:val="32"/>
          <w:szCs w:val="32"/>
          <w:highlight w:val="none"/>
        </w:rPr>
        <w:t>和森林草原管理单位联系，沟通信息，协调处置森林草原火灾扑救工作。跨盟市界、旗县界的较大、重大、特别重大森林草原火灾扑救工作，由</w:t>
      </w:r>
      <w:r>
        <w:rPr>
          <w:rFonts w:hint="eastAsia" w:ascii="宋体" w:hAnsi="宋体" w:eastAsia="仿宋_GB2312"/>
          <w:color w:val="auto"/>
          <w:sz w:val="32"/>
          <w:szCs w:val="32"/>
          <w:highlight w:val="none"/>
          <w:lang w:val="en-US" w:eastAsia="zh-CN"/>
        </w:rPr>
        <w:t>市</w:t>
      </w:r>
      <w:r>
        <w:rPr>
          <w:rFonts w:hint="eastAsia" w:ascii="宋体" w:hAnsi="宋体" w:eastAsia="仿宋_GB2312"/>
          <w:color w:val="auto"/>
          <w:sz w:val="32"/>
          <w:szCs w:val="32"/>
          <w:highlight w:val="none"/>
        </w:rPr>
        <w:t>森林草原防灭火指挥部统一协调指挥</w:t>
      </w:r>
      <w:r>
        <w:rPr>
          <w:rFonts w:hint="eastAsia" w:ascii="宋体" w:hAnsi="宋体"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outlineLvl w:val="1"/>
        <w:rPr>
          <w:rFonts w:hint="eastAsia"/>
          <w:color w:val="auto"/>
          <w:highlight w:val="none"/>
          <w:lang w:eastAsia="zh-CN"/>
        </w:rPr>
      </w:pPr>
      <w:bookmarkStart w:id="114" w:name="_Toc21331"/>
      <w:r>
        <w:rPr>
          <w:rFonts w:hint="eastAsia" w:ascii="黑体" w:eastAsia="黑体"/>
          <w:bCs/>
          <w:color w:val="auto"/>
          <w:kern w:val="44"/>
          <w:sz w:val="32"/>
          <w:szCs w:val="44"/>
          <w:highlight w:val="none"/>
          <w:lang w:val="en-US" w:eastAsia="zh-CN"/>
        </w:rPr>
        <w:t>3.3 应急处置工作组</w:t>
      </w:r>
      <w:bookmarkEnd w:id="114"/>
    </w:p>
    <w:p>
      <w:pPr>
        <w:keepNext w:val="0"/>
        <w:keepLines w:val="0"/>
        <w:pageBreakBefore w:val="0"/>
        <w:widowControl w:val="0"/>
        <w:kinsoku/>
        <w:wordWrap/>
        <w:overflowPunct/>
        <w:topLinePunct w:val="0"/>
        <w:autoSpaceDE/>
        <w:autoSpaceDN/>
        <w:bidi w:val="0"/>
        <w:snapToGrid/>
        <w:spacing w:line="36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rPr>
        <w:t>森防指根据需要设立火场前线指挥部，下设相应的工作组。各工作组组成及任务分工如下：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综合协调组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由</w:t>
      </w: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rPr>
        <w:t>应急</w:t>
      </w:r>
      <w:r>
        <w:rPr>
          <w:rFonts w:hint="eastAsia" w:ascii="仿宋_GB2312" w:hAnsi="仿宋_GB2312" w:eastAsia="仿宋_GB2312" w:cs="仿宋_GB2312"/>
          <w:color w:val="auto"/>
          <w:kern w:val="0"/>
          <w:sz w:val="32"/>
          <w:szCs w:val="32"/>
          <w:lang w:val="en-US" w:eastAsia="zh-CN"/>
        </w:rPr>
        <w:t>管理</w:t>
      </w:r>
      <w:r>
        <w:rPr>
          <w:rFonts w:hint="eastAsia" w:ascii="仿宋_GB2312" w:hAnsi="仿宋_GB2312" w:eastAsia="仿宋_GB2312" w:cs="仿宋_GB2312"/>
          <w:color w:val="auto"/>
          <w:kern w:val="0"/>
          <w:sz w:val="32"/>
          <w:szCs w:val="32"/>
        </w:rPr>
        <w:t>局牵头，</w:t>
      </w:r>
      <w:r>
        <w:rPr>
          <w:rFonts w:hint="eastAsia" w:ascii="仿宋_GB2312" w:hAnsi="Times New Roman" w:eastAsia="仿宋_GB2312" w:cs="仿宋_GB2312"/>
          <w:i w:val="0"/>
          <w:iCs w:val="0"/>
          <w:caps w:val="0"/>
          <w:color w:val="auto"/>
          <w:spacing w:val="0"/>
          <w:sz w:val="32"/>
          <w:szCs w:val="32"/>
          <w:lang w:eastAsia="zh-CN"/>
        </w:rPr>
        <w:t>发展和改革委员会</w:t>
      </w:r>
      <w:r>
        <w:rPr>
          <w:rFonts w:hint="eastAsia" w:ascii="仿宋_GB2312" w:hAnsi="Times New Roman" w:eastAsia="仿宋_GB2312" w:cs="仿宋_GB2312"/>
          <w:i w:val="0"/>
          <w:iCs w:val="0"/>
          <w:caps w:val="0"/>
          <w:color w:val="auto"/>
          <w:spacing w:val="0"/>
          <w:sz w:val="32"/>
          <w:szCs w:val="32"/>
        </w:rPr>
        <w:t>、</w:t>
      </w:r>
      <w:r>
        <w:rPr>
          <w:rFonts w:hint="eastAsia" w:ascii="仿宋_GB2312" w:hAnsi="Times New Roman" w:eastAsia="仿宋_GB2312" w:cs="仿宋_GB2312"/>
          <w:i w:val="0"/>
          <w:iCs w:val="0"/>
          <w:caps w:val="0"/>
          <w:color w:val="auto"/>
          <w:spacing w:val="0"/>
          <w:sz w:val="32"/>
          <w:szCs w:val="32"/>
          <w:lang w:val="en-US" w:eastAsia="zh-CN"/>
        </w:rPr>
        <w:t>工业和信息化局</w:t>
      </w:r>
      <w:r>
        <w:rPr>
          <w:rFonts w:hint="eastAsia" w:ascii="仿宋_GB2312" w:hAnsi="Times New Roman" w:eastAsia="仿宋_GB2312" w:cs="仿宋_GB2312"/>
          <w:i w:val="0"/>
          <w:iCs w:val="0"/>
          <w:caps w:val="0"/>
          <w:color w:val="auto"/>
          <w:spacing w:val="0"/>
          <w:sz w:val="32"/>
          <w:szCs w:val="32"/>
        </w:rPr>
        <w:t>、</w:t>
      </w:r>
      <w:r>
        <w:rPr>
          <w:rFonts w:hint="eastAsia" w:ascii="仿宋_GB2312" w:hAnsi="Times New Roman" w:eastAsia="仿宋_GB2312" w:cs="仿宋_GB2312"/>
          <w:i w:val="0"/>
          <w:iCs w:val="0"/>
          <w:caps w:val="0"/>
          <w:color w:val="auto"/>
          <w:spacing w:val="0"/>
          <w:sz w:val="32"/>
          <w:szCs w:val="32"/>
          <w:lang w:eastAsia="zh-CN"/>
        </w:rPr>
        <w:t>公安分局</w:t>
      </w:r>
      <w:r>
        <w:rPr>
          <w:rFonts w:hint="eastAsia" w:ascii="仿宋_GB2312" w:hAnsi="Times New Roman" w:eastAsia="仿宋_GB2312" w:cs="仿宋_GB2312"/>
          <w:i w:val="0"/>
          <w:iCs w:val="0"/>
          <w:caps w:val="0"/>
          <w:color w:val="auto"/>
          <w:spacing w:val="0"/>
          <w:sz w:val="32"/>
          <w:szCs w:val="32"/>
        </w:rPr>
        <w:t>、</w:t>
      </w:r>
      <w:r>
        <w:rPr>
          <w:rFonts w:hint="eastAsia" w:ascii="仿宋_GB2312" w:hAnsi="Times New Roman" w:eastAsia="仿宋_GB2312" w:cs="仿宋_GB2312"/>
          <w:i w:val="0"/>
          <w:iCs w:val="0"/>
          <w:caps w:val="0"/>
          <w:color w:val="auto"/>
          <w:spacing w:val="0"/>
          <w:sz w:val="32"/>
          <w:szCs w:val="32"/>
          <w:lang w:val="en-US" w:eastAsia="zh-CN"/>
        </w:rPr>
        <w:t>林业和草原分局</w:t>
      </w:r>
      <w:r>
        <w:rPr>
          <w:rFonts w:hint="eastAsia" w:ascii="仿宋_GB2312" w:hAnsi="Times New Roman" w:eastAsia="仿宋_GB2312" w:cs="仿宋_GB2312"/>
          <w:i w:val="0"/>
          <w:iCs w:val="0"/>
          <w:caps w:val="0"/>
          <w:color w:val="auto"/>
          <w:spacing w:val="0"/>
          <w:sz w:val="32"/>
          <w:szCs w:val="32"/>
        </w:rPr>
        <w:t>、气象</w:t>
      </w:r>
      <w:r>
        <w:rPr>
          <w:rFonts w:hint="eastAsia" w:ascii="仿宋_GB2312" w:hAnsi="Times New Roman" w:eastAsia="仿宋_GB2312" w:cs="仿宋_GB2312"/>
          <w:i w:val="0"/>
          <w:iCs w:val="0"/>
          <w:caps w:val="0"/>
          <w:color w:val="auto"/>
          <w:spacing w:val="0"/>
          <w:sz w:val="32"/>
          <w:szCs w:val="32"/>
          <w:lang w:val="en-US" w:eastAsia="zh-CN"/>
        </w:rPr>
        <w:t>分</w:t>
      </w:r>
      <w:r>
        <w:rPr>
          <w:rFonts w:hint="eastAsia" w:ascii="仿宋_GB2312" w:hAnsi="Times New Roman" w:eastAsia="仿宋_GB2312" w:cs="仿宋_GB2312"/>
          <w:i w:val="0"/>
          <w:iCs w:val="0"/>
          <w:caps w:val="0"/>
          <w:color w:val="auto"/>
          <w:spacing w:val="0"/>
          <w:sz w:val="32"/>
          <w:szCs w:val="32"/>
        </w:rPr>
        <w:t>局、消防救援大队、</w:t>
      </w:r>
      <w:r>
        <w:rPr>
          <w:rFonts w:hint="eastAsia" w:ascii="仿宋_GB2312" w:hAnsi="Times New Roman" w:eastAsia="仿宋_GB2312" w:cs="仿宋_GB2312"/>
          <w:i w:val="0"/>
          <w:iCs w:val="0"/>
          <w:caps w:val="0"/>
          <w:color w:val="auto"/>
          <w:spacing w:val="0"/>
          <w:sz w:val="32"/>
          <w:szCs w:val="32"/>
          <w:lang w:val="en-US" w:eastAsia="zh-CN"/>
        </w:rPr>
        <w:t>武装</w:t>
      </w:r>
      <w:r>
        <w:rPr>
          <w:rFonts w:hint="eastAsia" w:ascii="仿宋_GB2312" w:hAnsi="Times New Roman" w:eastAsia="仿宋_GB2312" w:cs="仿宋_GB2312"/>
          <w:i w:val="0"/>
          <w:iCs w:val="0"/>
          <w:caps w:val="0"/>
          <w:color w:val="auto"/>
          <w:spacing w:val="0"/>
          <w:sz w:val="32"/>
          <w:szCs w:val="32"/>
        </w:rPr>
        <w:t>部等相关部门和单位参加。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主要职责：传达贯彻区委、</w:t>
      </w:r>
      <w:r>
        <w:rPr>
          <w:rFonts w:hint="eastAsia" w:ascii="仿宋_GB2312" w:hAnsi="仿宋_GB2312" w:eastAsia="仿宋_GB2312" w:cs="仿宋_GB2312"/>
          <w:color w:val="auto"/>
          <w:kern w:val="0"/>
          <w:sz w:val="32"/>
          <w:szCs w:val="32"/>
          <w:lang w:eastAsia="zh-CN"/>
        </w:rPr>
        <w:t>区</w:t>
      </w:r>
      <w:r>
        <w:rPr>
          <w:rFonts w:hint="eastAsia" w:ascii="仿宋_GB2312" w:hAnsi="仿宋_GB2312" w:eastAsia="仿宋_GB2312" w:cs="仿宋_GB2312"/>
          <w:color w:val="auto"/>
          <w:kern w:val="0"/>
          <w:sz w:val="32"/>
          <w:szCs w:val="32"/>
        </w:rPr>
        <w:t>政府指示；密切跟踪汇总森林草原火情和扑救进展，及时向区委、</w:t>
      </w:r>
      <w:r>
        <w:rPr>
          <w:rFonts w:hint="eastAsia" w:ascii="仿宋_GB2312" w:hAnsi="仿宋_GB2312" w:eastAsia="仿宋_GB2312" w:cs="仿宋_GB2312"/>
          <w:color w:val="auto"/>
          <w:kern w:val="0"/>
          <w:sz w:val="32"/>
          <w:szCs w:val="32"/>
          <w:lang w:eastAsia="zh-CN"/>
        </w:rPr>
        <w:t>区</w:t>
      </w:r>
      <w:r>
        <w:rPr>
          <w:rFonts w:hint="eastAsia" w:ascii="仿宋_GB2312" w:hAnsi="仿宋_GB2312" w:eastAsia="仿宋_GB2312" w:cs="仿宋_GB2312"/>
          <w:color w:val="auto"/>
          <w:kern w:val="0"/>
          <w:sz w:val="32"/>
          <w:szCs w:val="32"/>
        </w:rPr>
        <w:t>政府报告，并通报</w:t>
      </w: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rPr>
        <w:t>森防指各成员单位；综合协调内部日常事务，督办重要工作。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lang w:val="en-US" w:eastAsia="zh-CN"/>
        </w:rPr>
        <w:t>2</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抢险救援组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由</w:t>
      </w:r>
      <w:r>
        <w:rPr>
          <w:rFonts w:hint="eastAsia" w:ascii="仿宋_GB2312" w:hAnsi="仿宋_GB2312" w:eastAsia="仿宋_GB2312" w:cs="仿宋_GB2312"/>
          <w:color w:val="auto"/>
          <w:kern w:val="0"/>
          <w:sz w:val="32"/>
          <w:szCs w:val="32"/>
          <w:highlight w:val="none"/>
          <w:lang w:val="en-US" w:eastAsia="zh-CN"/>
        </w:rPr>
        <w:t>区</w:t>
      </w:r>
      <w:r>
        <w:rPr>
          <w:rFonts w:hint="eastAsia" w:ascii="仿宋_GB2312" w:hAnsi="仿宋_GB2312" w:eastAsia="仿宋_GB2312" w:cs="仿宋_GB2312"/>
          <w:color w:val="auto"/>
          <w:kern w:val="0"/>
          <w:sz w:val="32"/>
          <w:szCs w:val="32"/>
          <w:highlight w:val="none"/>
          <w:lang w:eastAsia="zh-CN"/>
        </w:rPr>
        <w:t>应急管理局</w:t>
      </w:r>
      <w:r>
        <w:rPr>
          <w:rFonts w:hint="eastAsia" w:ascii="仿宋_GB2312" w:hAnsi="仿宋_GB2312" w:eastAsia="仿宋_GB2312" w:cs="仿宋_GB2312"/>
          <w:color w:val="auto"/>
          <w:kern w:val="0"/>
          <w:sz w:val="32"/>
          <w:szCs w:val="32"/>
          <w:highlight w:val="none"/>
        </w:rPr>
        <w:t>牵头，消防救援</w:t>
      </w:r>
      <w:r>
        <w:rPr>
          <w:rFonts w:hint="eastAsia" w:ascii="仿宋_GB2312" w:hAnsi="仿宋_GB2312" w:eastAsia="仿宋_GB2312" w:cs="仿宋_GB2312"/>
          <w:color w:val="auto"/>
          <w:kern w:val="0"/>
          <w:sz w:val="32"/>
          <w:szCs w:val="32"/>
          <w:highlight w:val="none"/>
          <w:lang w:val="en-US" w:eastAsia="zh-CN"/>
        </w:rPr>
        <w:t>大</w:t>
      </w:r>
      <w:r>
        <w:rPr>
          <w:rFonts w:hint="eastAsia" w:ascii="仿宋_GB2312" w:hAnsi="仿宋_GB2312" w:eastAsia="仿宋_GB2312" w:cs="仿宋_GB2312"/>
          <w:color w:val="auto"/>
          <w:kern w:val="0"/>
          <w:sz w:val="32"/>
          <w:szCs w:val="32"/>
          <w:highlight w:val="none"/>
        </w:rPr>
        <w:t>队</w:t>
      </w:r>
      <w:r>
        <w:rPr>
          <w:rFonts w:hint="eastAsia" w:ascii="仿宋_GB2312" w:hAnsi="仿宋_GB2312" w:eastAsia="仿宋_GB2312" w:cs="仿宋_GB2312"/>
          <w:color w:val="auto"/>
          <w:kern w:val="0"/>
          <w:sz w:val="32"/>
          <w:szCs w:val="32"/>
          <w:highlight w:val="none"/>
          <w:lang w:eastAsia="zh-CN"/>
        </w:rPr>
        <w:t>、内蒙古森林消防总队特勤大队、林业和草原分局</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公安分局</w:t>
      </w:r>
      <w:r>
        <w:rPr>
          <w:rFonts w:hint="eastAsia" w:ascii="仿宋_GB2312" w:hAnsi="仿宋_GB2312" w:eastAsia="仿宋_GB2312" w:cs="仿宋_GB2312"/>
          <w:color w:val="auto"/>
          <w:kern w:val="0"/>
          <w:sz w:val="32"/>
          <w:szCs w:val="32"/>
          <w:highlight w:val="none"/>
        </w:rPr>
        <w:t>、</w:t>
      </w:r>
      <w:r>
        <w:rPr>
          <w:rFonts w:hint="eastAsia" w:ascii="宋体" w:hAnsi="宋体" w:eastAsia="仿宋_GB2312"/>
          <w:color w:val="auto"/>
          <w:sz w:val="32"/>
          <w:szCs w:val="32"/>
          <w:highlight w:val="none"/>
        </w:rPr>
        <w:t>保和少镇、</w:t>
      </w:r>
      <w:r>
        <w:rPr>
          <w:rFonts w:hint="eastAsia" w:ascii="宋体" w:hAnsi="宋体" w:eastAsia="仿宋_GB2312"/>
          <w:color w:val="auto"/>
          <w:sz w:val="32"/>
          <w:szCs w:val="32"/>
          <w:highlight w:val="none"/>
          <w:lang w:eastAsia="zh-CN"/>
        </w:rPr>
        <w:t>成吉思汗大街街道办事处、</w:t>
      </w:r>
      <w:r>
        <w:rPr>
          <w:rFonts w:hint="eastAsia" w:ascii="宋体" w:hAnsi="宋体" w:eastAsia="仿宋_GB2312"/>
          <w:color w:val="auto"/>
          <w:sz w:val="32"/>
          <w:szCs w:val="32"/>
          <w:lang w:eastAsia="zh-CN"/>
        </w:rPr>
        <w:t>古路板管理站</w:t>
      </w:r>
      <w:r>
        <w:rPr>
          <w:rFonts w:hint="eastAsia" w:ascii="宋体" w:hAnsi="宋体" w:eastAsia="仿宋_GB2312"/>
          <w:color w:val="auto"/>
          <w:sz w:val="32"/>
          <w:szCs w:val="32"/>
          <w:highlight w:val="none"/>
        </w:rPr>
        <w:t>和森林草原管理单位</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武装部</w:t>
      </w:r>
      <w:r>
        <w:rPr>
          <w:rFonts w:hint="eastAsia" w:ascii="仿宋_GB2312" w:hAnsi="仿宋_GB2312" w:eastAsia="仿宋_GB2312" w:cs="仿宋_GB2312"/>
          <w:color w:val="auto"/>
          <w:kern w:val="0"/>
          <w:sz w:val="32"/>
          <w:szCs w:val="32"/>
          <w:highlight w:val="none"/>
        </w:rPr>
        <w:t>等部门和单位参加。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主要职责：指导灾区制定现场抢险救援方案和组织实施工作；根据灾情变化，适时提出调整抢险救援力量的建议；协调调度应急救援队伍和物资参加抢险救援；指导社会救援力量参与抢险救援；组织协调现场应急处置有关工作；视情组织周边救援队伍开展现场行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lang w:val="en-US" w:eastAsia="zh-CN"/>
        </w:rPr>
        <w:t>3</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医疗救治组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由</w:t>
      </w: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lang w:eastAsia="zh-CN"/>
        </w:rPr>
        <w:t>卫生健康委员会</w:t>
      </w:r>
      <w:r>
        <w:rPr>
          <w:rFonts w:hint="eastAsia" w:ascii="仿宋_GB2312" w:hAnsi="仿宋_GB2312" w:eastAsia="仿宋_GB2312" w:cs="仿宋_GB2312"/>
          <w:color w:val="auto"/>
          <w:kern w:val="0"/>
          <w:sz w:val="32"/>
          <w:szCs w:val="32"/>
        </w:rPr>
        <w:t>牵头，相关部门和单位参加。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主要职责：组织指导灾区医疗救助和卫生防疫工作；统筹协调医疗救护队伍和医疗器械、药品支援灾区；组织指导灾区转运救治伤员、做好伤亡统计；指导灾区、安置点防范和控制各种传染病等疫情暴发流行。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lang w:val="en-US" w:eastAsia="zh-CN"/>
        </w:rPr>
        <w:t>4</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火灾监测组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由</w:t>
      </w: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lang w:eastAsia="zh-CN"/>
        </w:rPr>
        <w:t>应急管理局</w:t>
      </w:r>
      <w:r>
        <w:rPr>
          <w:rFonts w:hint="eastAsia" w:ascii="仿宋_GB2312" w:hAnsi="仿宋_GB2312" w:eastAsia="仿宋_GB2312" w:cs="仿宋_GB2312"/>
          <w:color w:val="auto"/>
          <w:kern w:val="0"/>
          <w:sz w:val="32"/>
          <w:szCs w:val="32"/>
          <w:lang w:val="en-US" w:eastAsia="zh-CN"/>
        </w:rPr>
        <w:t>牵</w:t>
      </w:r>
      <w:r>
        <w:rPr>
          <w:rFonts w:hint="eastAsia" w:ascii="仿宋_GB2312" w:hAnsi="仿宋_GB2312" w:eastAsia="仿宋_GB2312" w:cs="仿宋_GB2312"/>
          <w:color w:val="auto"/>
          <w:kern w:val="0"/>
          <w:sz w:val="32"/>
          <w:szCs w:val="32"/>
        </w:rPr>
        <w:t>头，</w:t>
      </w:r>
      <w:r>
        <w:rPr>
          <w:rFonts w:hint="eastAsia" w:ascii="仿宋_GB2312" w:hAnsi="仿宋_GB2312" w:eastAsia="仿宋_GB2312" w:cs="仿宋_GB2312"/>
          <w:color w:val="auto"/>
          <w:kern w:val="0"/>
          <w:sz w:val="32"/>
          <w:szCs w:val="32"/>
          <w:lang w:eastAsia="zh-CN"/>
        </w:rPr>
        <w:t>林业和草原分局</w:t>
      </w:r>
      <w:r>
        <w:rPr>
          <w:rFonts w:hint="eastAsia" w:ascii="仿宋_GB2312" w:hAnsi="仿宋_GB2312" w:eastAsia="仿宋_GB2312" w:cs="仿宋_GB2312"/>
          <w:color w:val="auto"/>
          <w:kern w:val="0"/>
          <w:sz w:val="32"/>
          <w:szCs w:val="32"/>
        </w:rPr>
        <w:t>、气象</w:t>
      </w:r>
      <w:r>
        <w:rPr>
          <w:rFonts w:hint="eastAsia" w:ascii="仿宋_GB2312" w:hAnsi="仿宋_GB2312" w:eastAsia="仿宋_GB2312" w:cs="仿宋_GB2312"/>
          <w:color w:val="auto"/>
          <w:kern w:val="0"/>
          <w:sz w:val="32"/>
          <w:szCs w:val="32"/>
          <w:lang w:val="en-US" w:eastAsia="zh-CN"/>
        </w:rPr>
        <w:t>分</w:t>
      </w:r>
      <w:r>
        <w:rPr>
          <w:rFonts w:hint="eastAsia" w:ascii="仿宋_GB2312" w:hAnsi="仿宋_GB2312" w:eastAsia="仿宋_GB2312" w:cs="仿宋_GB2312"/>
          <w:color w:val="auto"/>
          <w:kern w:val="0"/>
          <w:sz w:val="32"/>
          <w:szCs w:val="32"/>
        </w:rPr>
        <w:t>局</w:t>
      </w:r>
      <w:r>
        <w:rPr>
          <w:rFonts w:hint="eastAsia" w:ascii="仿宋_GB2312" w:hAnsi="仿宋_GB2312" w:eastAsia="仿宋_GB2312" w:cs="仿宋_GB2312"/>
          <w:color w:val="auto"/>
          <w:kern w:val="0"/>
          <w:sz w:val="32"/>
          <w:szCs w:val="32"/>
          <w:lang w:eastAsia="zh-CN"/>
        </w:rPr>
        <w:t>、</w:t>
      </w:r>
      <w:r>
        <w:rPr>
          <w:rFonts w:hint="eastAsia" w:ascii="宋体" w:hAnsi="宋体" w:eastAsia="仿宋_GB2312"/>
          <w:color w:val="auto"/>
          <w:sz w:val="32"/>
          <w:szCs w:val="32"/>
          <w:highlight w:val="none"/>
        </w:rPr>
        <w:t>保和少镇、</w:t>
      </w:r>
      <w:r>
        <w:rPr>
          <w:rFonts w:hint="eastAsia" w:ascii="宋体" w:hAnsi="宋体" w:eastAsia="仿宋_GB2312"/>
          <w:color w:val="auto"/>
          <w:sz w:val="32"/>
          <w:szCs w:val="32"/>
          <w:highlight w:val="none"/>
          <w:lang w:eastAsia="zh-CN"/>
        </w:rPr>
        <w:t>成吉思汗大街街道办事处、</w:t>
      </w:r>
      <w:r>
        <w:rPr>
          <w:rFonts w:hint="eastAsia" w:ascii="宋体" w:hAnsi="宋体" w:eastAsia="仿宋_GB2312"/>
          <w:color w:val="auto"/>
          <w:sz w:val="32"/>
          <w:szCs w:val="32"/>
          <w:lang w:eastAsia="zh-CN"/>
        </w:rPr>
        <w:t>古路板管理站</w:t>
      </w:r>
      <w:r>
        <w:rPr>
          <w:rFonts w:hint="eastAsia" w:ascii="宋体" w:hAnsi="宋体" w:eastAsia="仿宋_GB2312"/>
          <w:color w:val="auto"/>
          <w:sz w:val="32"/>
          <w:szCs w:val="32"/>
          <w:highlight w:val="none"/>
        </w:rPr>
        <w:t>和森林草原管理单位</w:t>
      </w:r>
      <w:r>
        <w:rPr>
          <w:rFonts w:hint="eastAsia" w:ascii="仿宋_GB2312" w:hAnsi="仿宋_GB2312" w:eastAsia="仿宋_GB2312" w:cs="仿宋_GB2312"/>
          <w:color w:val="auto"/>
          <w:kern w:val="0"/>
          <w:sz w:val="32"/>
          <w:szCs w:val="32"/>
        </w:rPr>
        <w:t>等部门和单位参加。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主要职责：组织火灾风险监测，指导次生衍生灾害防范；调度相关技术力量和设备，监视灾情发展；指导灾害防御和灾害隐患监测预警。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lang w:val="en-US" w:eastAsia="zh-CN"/>
        </w:rPr>
        <w:t>5</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通信保障组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由</w:t>
      </w:r>
      <w:r>
        <w:rPr>
          <w:rFonts w:hint="eastAsia" w:ascii="仿宋_GB2312" w:hAnsi="仿宋_GB2312" w:eastAsia="仿宋_GB2312" w:cs="仿宋_GB2312"/>
          <w:color w:val="auto"/>
          <w:kern w:val="0"/>
          <w:sz w:val="32"/>
          <w:szCs w:val="32"/>
          <w:lang w:val="en-US" w:eastAsia="zh-CN"/>
        </w:rPr>
        <w:t>区工业和信息化局</w:t>
      </w:r>
      <w:r>
        <w:rPr>
          <w:rFonts w:hint="eastAsia" w:ascii="仿宋_GB2312" w:hAnsi="仿宋_GB2312" w:eastAsia="仿宋_GB2312" w:cs="仿宋_GB2312"/>
          <w:color w:val="auto"/>
          <w:kern w:val="0"/>
          <w:sz w:val="32"/>
          <w:szCs w:val="32"/>
        </w:rPr>
        <w:t>牵头，</w:t>
      </w:r>
      <w:r>
        <w:rPr>
          <w:rFonts w:hint="eastAsia" w:ascii="仿宋_GB2312" w:hAnsi="仿宋_GB2312" w:eastAsia="仿宋_GB2312" w:cs="仿宋_GB2312"/>
          <w:color w:val="auto"/>
          <w:kern w:val="0"/>
          <w:sz w:val="32"/>
          <w:szCs w:val="32"/>
          <w:lang w:eastAsia="zh-CN"/>
        </w:rPr>
        <w:t>应急管理局</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文化旅游广电局</w:t>
      </w:r>
      <w:r>
        <w:rPr>
          <w:rFonts w:hint="eastAsia" w:ascii="仿宋_GB2312" w:hAnsi="仿宋_GB2312" w:eastAsia="仿宋_GB2312" w:cs="仿宋_GB2312"/>
          <w:color w:val="auto"/>
          <w:kern w:val="0"/>
          <w:sz w:val="32"/>
          <w:szCs w:val="32"/>
        </w:rPr>
        <w:t>等部门和单位参加。</w:t>
      </w:r>
    </w:p>
    <w:p>
      <w:pPr>
        <w:keepNext w:val="0"/>
        <w:keepLines w:val="0"/>
        <w:pageBreakBefore w:val="0"/>
        <w:widowControl w:val="0"/>
        <w:kinsoku/>
        <w:wordWrap/>
        <w:overflowPunct/>
        <w:topLinePunct w:val="0"/>
        <w:autoSpaceDE/>
        <w:autoSpaceDN/>
        <w:bidi w:val="0"/>
        <w:snapToGrid/>
        <w:spacing w:line="36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主要职责：协调做好指挥机构在灾区时的通信和信息化组网工作；建立灾害现场指挥机构、应急救援队伍与</w:t>
      </w:r>
      <w:r>
        <w:rPr>
          <w:rFonts w:hint="eastAsia" w:ascii="仿宋_GB2312" w:hAnsi="仿宋_GB2312" w:eastAsia="仿宋_GB2312" w:cs="仿宋_GB2312"/>
          <w:color w:val="auto"/>
          <w:kern w:val="0"/>
          <w:sz w:val="32"/>
          <w:szCs w:val="32"/>
          <w:lang w:eastAsia="zh-CN"/>
        </w:rPr>
        <w:t>应急管理局</w:t>
      </w:r>
      <w:r>
        <w:rPr>
          <w:rFonts w:hint="eastAsia" w:ascii="仿宋_GB2312" w:hAnsi="仿宋_GB2312" w:eastAsia="仿宋_GB2312" w:cs="仿宋_GB2312"/>
          <w:color w:val="auto"/>
          <w:kern w:val="0"/>
          <w:sz w:val="32"/>
          <w:szCs w:val="32"/>
        </w:rPr>
        <w:t>指挥中心以及其他指挥机构之间的通信联络；指导修复受损通信设施，恢复灾区通信。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lang w:val="en-US" w:eastAsia="zh-CN"/>
        </w:rPr>
        <w:t>6</w:t>
      </w:r>
      <w:r>
        <w:rPr>
          <w:rFonts w:hint="eastAsia" w:ascii="仿宋_GB2312" w:hAnsi="仿宋_GB2312" w:eastAsia="仿宋_GB2312" w:cs="仿宋_GB2312"/>
          <w:b w:val="0"/>
          <w:bCs w:val="0"/>
          <w:color w:val="auto"/>
          <w:kern w:val="0"/>
          <w:sz w:val="32"/>
          <w:szCs w:val="32"/>
          <w:lang w:eastAsia="zh-CN"/>
        </w:rPr>
        <w:t>）交通保障组</w:t>
      </w:r>
    </w:p>
    <w:p>
      <w:pPr>
        <w:keepNext w:val="0"/>
        <w:keepLines w:val="0"/>
        <w:pageBreakBefore w:val="0"/>
        <w:widowControl w:val="0"/>
        <w:kinsoku/>
        <w:wordWrap/>
        <w:overflowPunct/>
        <w:topLinePunct w:val="0"/>
        <w:autoSpaceDE/>
        <w:autoSpaceDN/>
        <w:bidi w:val="0"/>
        <w:snapToGrid/>
        <w:spacing w:line="36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由</w:t>
      </w:r>
      <w:r>
        <w:rPr>
          <w:rFonts w:hint="eastAsia" w:ascii="仿宋_GB2312" w:hAnsi="仿宋_GB2312" w:eastAsia="仿宋_GB2312" w:cs="仿宋_GB2312"/>
          <w:color w:val="auto"/>
          <w:kern w:val="0"/>
          <w:sz w:val="32"/>
          <w:szCs w:val="32"/>
          <w:lang w:eastAsia="zh-CN"/>
        </w:rPr>
        <w:t>公安分局</w:t>
      </w:r>
      <w:r>
        <w:rPr>
          <w:rFonts w:hint="eastAsia" w:ascii="仿宋_GB2312" w:hAnsi="仿宋_GB2312" w:eastAsia="仿宋_GB2312" w:cs="仿宋_GB2312"/>
          <w:color w:val="auto"/>
          <w:kern w:val="0"/>
          <w:sz w:val="32"/>
          <w:szCs w:val="32"/>
        </w:rPr>
        <w:t>牵头，</w:t>
      </w:r>
      <w:r>
        <w:rPr>
          <w:rFonts w:hint="eastAsia" w:ascii="仿宋_GB2312" w:hAnsi="仿宋_GB2312" w:eastAsia="仿宋_GB2312" w:cs="仿宋_GB2312"/>
          <w:color w:val="auto"/>
          <w:kern w:val="0"/>
          <w:sz w:val="32"/>
          <w:szCs w:val="32"/>
          <w:lang w:val="en-US" w:eastAsia="zh-CN"/>
        </w:rPr>
        <w:t>交管大队、农牧水利局（交通）</w:t>
      </w:r>
      <w:r>
        <w:rPr>
          <w:rFonts w:hint="eastAsia" w:ascii="仿宋_GB2312" w:hAnsi="仿宋_GB2312" w:eastAsia="仿宋_GB2312" w:cs="仿宋_GB2312"/>
          <w:color w:val="auto"/>
          <w:kern w:val="0"/>
          <w:sz w:val="32"/>
          <w:szCs w:val="32"/>
        </w:rPr>
        <w:t>等部门和单位参加。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主要职责：统筹协调做好应急救援力量赴灾区和撤离时的交通保障工作；指导灾区道路抢通抢修；协调抢险救灾物资、救援装备以及基本生活物资等交通保障。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lang w:val="en-US" w:eastAsia="zh-CN"/>
        </w:rPr>
        <w:t>7</w:t>
      </w:r>
      <w:r>
        <w:rPr>
          <w:rFonts w:hint="eastAsia" w:ascii="仿宋_GB2312" w:hAnsi="仿宋_GB2312" w:eastAsia="仿宋_GB2312" w:cs="仿宋_GB2312"/>
          <w:b w:val="0"/>
          <w:bCs w:val="0"/>
          <w:color w:val="auto"/>
          <w:kern w:val="0"/>
          <w:sz w:val="32"/>
          <w:szCs w:val="32"/>
          <w:lang w:eastAsia="zh-CN"/>
        </w:rPr>
        <w:t>）军队协调组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color w:val="auto"/>
          <w:kern w:val="0"/>
          <w:sz w:val="32"/>
          <w:szCs w:val="32"/>
        </w:rPr>
        <w:t>由</w:t>
      </w:r>
      <w:r>
        <w:rPr>
          <w:rFonts w:hint="eastAsia" w:ascii="仿宋_GB2312" w:hAnsi="仿宋_GB2312" w:eastAsia="仿宋_GB2312" w:cs="仿宋_GB2312"/>
          <w:color w:val="auto"/>
          <w:kern w:val="0"/>
          <w:sz w:val="32"/>
          <w:szCs w:val="32"/>
          <w:lang w:val="en-US" w:eastAsia="zh-CN"/>
        </w:rPr>
        <w:t>武装部</w:t>
      </w:r>
      <w:r>
        <w:rPr>
          <w:rFonts w:hint="eastAsia" w:ascii="仿宋_GB2312" w:hAnsi="仿宋_GB2312" w:eastAsia="仿宋_GB2312" w:cs="仿宋_GB2312"/>
          <w:color w:val="auto"/>
          <w:kern w:val="0"/>
          <w:sz w:val="32"/>
          <w:szCs w:val="32"/>
        </w:rPr>
        <w:t>牵头，</w:t>
      </w:r>
      <w:r>
        <w:rPr>
          <w:rFonts w:hint="eastAsia" w:ascii="仿宋_GB2312" w:hAnsi="仿宋_GB2312" w:eastAsia="仿宋_GB2312" w:cs="仿宋_GB2312"/>
          <w:color w:val="auto"/>
          <w:kern w:val="0"/>
          <w:sz w:val="32"/>
          <w:szCs w:val="32"/>
          <w:lang w:val="en-US" w:eastAsia="zh-CN"/>
        </w:rPr>
        <w:t>应急管理局等</w:t>
      </w:r>
      <w:r>
        <w:rPr>
          <w:rFonts w:hint="eastAsia" w:ascii="仿宋_GB2312" w:hAnsi="仿宋_GB2312" w:eastAsia="仿宋_GB2312" w:cs="仿宋_GB2312"/>
          <w:color w:val="auto"/>
          <w:kern w:val="0"/>
          <w:sz w:val="32"/>
          <w:szCs w:val="32"/>
        </w:rPr>
        <w:t>相关部门和单位参加。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主要职责：指挥调度军队力量参加抢险救援；建立军地协同对接渠道，加强信息互联互通，进行军地联合指挥；协调做好军队力量在灾区时的后勤保障工作。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lang w:val="en-US" w:eastAsia="zh-CN"/>
        </w:rPr>
        <w:t>8</w:t>
      </w:r>
      <w:r>
        <w:rPr>
          <w:rFonts w:hint="eastAsia" w:ascii="仿宋_GB2312" w:hAnsi="仿宋_GB2312" w:eastAsia="仿宋_GB2312" w:cs="仿宋_GB2312"/>
          <w:b w:val="0"/>
          <w:bCs w:val="0"/>
          <w:color w:val="auto"/>
          <w:kern w:val="0"/>
          <w:sz w:val="32"/>
          <w:szCs w:val="32"/>
          <w:lang w:eastAsia="zh-CN"/>
        </w:rPr>
        <w:t>）专家组</w:t>
      </w:r>
    </w:p>
    <w:p>
      <w:pPr>
        <w:keepNext w:val="0"/>
        <w:keepLines w:val="0"/>
        <w:pageBreakBefore w:val="0"/>
        <w:widowControl w:val="0"/>
        <w:kinsoku/>
        <w:wordWrap/>
        <w:overflowPunct/>
        <w:topLinePunct w:val="0"/>
        <w:autoSpaceDE/>
        <w:autoSpaceDN/>
        <w:bidi w:val="0"/>
        <w:snapToGrid/>
        <w:spacing w:line="36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由专家组成员组成。</w:t>
      </w:r>
    </w:p>
    <w:p>
      <w:pPr>
        <w:keepNext w:val="0"/>
        <w:keepLines w:val="0"/>
        <w:pageBreakBefore w:val="0"/>
        <w:widowControl w:val="0"/>
        <w:kinsoku/>
        <w:wordWrap/>
        <w:overflowPunct/>
        <w:topLinePunct w:val="0"/>
        <w:autoSpaceDE/>
        <w:autoSpaceDN/>
        <w:bidi w:val="0"/>
        <w:snapToGrid/>
        <w:spacing w:line="36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主要职责：组织现场灾情会商研判，提供技术支持；指导现场监测预警和隐患排查工作；指导地方开展灾情调查和灾损评估；参与制定抢险救援方案。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lang w:val="en-US" w:eastAsia="zh-CN"/>
        </w:rPr>
        <w:t>9</w:t>
      </w:r>
      <w:r>
        <w:rPr>
          <w:rFonts w:hint="eastAsia" w:ascii="仿宋_GB2312" w:hAnsi="仿宋_GB2312" w:eastAsia="仿宋_GB2312" w:cs="仿宋_GB2312"/>
          <w:b w:val="0"/>
          <w:bCs w:val="0"/>
          <w:color w:val="auto"/>
          <w:kern w:val="0"/>
          <w:sz w:val="32"/>
          <w:szCs w:val="32"/>
          <w:lang w:eastAsia="zh-CN"/>
        </w:rPr>
        <w:t>）灾情评估组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由</w:t>
      </w:r>
      <w:r>
        <w:rPr>
          <w:rFonts w:hint="eastAsia" w:ascii="仿宋_GB2312" w:hAnsi="仿宋_GB2312" w:eastAsia="仿宋_GB2312" w:cs="仿宋_GB2312"/>
          <w:color w:val="auto"/>
          <w:kern w:val="0"/>
          <w:sz w:val="32"/>
          <w:szCs w:val="32"/>
          <w:lang w:eastAsia="zh-CN"/>
        </w:rPr>
        <w:t>林业和草原分局</w:t>
      </w:r>
      <w:r>
        <w:rPr>
          <w:rFonts w:hint="eastAsia" w:ascii="仿宋_GB2312" w:hAnsi="仿宋_GB2312" w:eastAsia="仿宋_GB2312" w:cs="仿宋_GB2312"/>
          <w:color w:val="auto"/>
          <w:kern w:val="0"/>
          <w:sz w:val="32"/>
          <w:szCs w:val="32"/>
        </w:rPr>
        <w:t>牵头，</w:t>
      </w:r>
      <w:r>
        <w:rPr>
          <w:rFonts w:hint="eastAsia" w:ascii="仿宋_GB2312" w:hAnsi="仿宋_GB2312" w:eastAsia="仿宋_GB2312" w:cs="仿宋_GB2312"/>
          <w:color w:val="auto"/>
          <w:kern w:val="0"/>
          <w:sz w:val="32"/>
          <w:szCs w:val="32"/>
          <w:lang w:eastAsia="zh-CN"/>
        </w:rPr>
        <w:t>公安分局</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应急管理局、</w:t>
      </w:r>
      <w:r>
        <w:rPr>
          <w:rFonts w:hint="eastAsia" w:ascii="宋体" w:hAnsi="宋体" w:eastAsia="仿宋_GB2312"/>
          <w:color w:val="auto"/>
          <w:sz w:val="32"/>
          <w:szCs w:val="32"/>
          <w:highlight w:val="none"/>
        </w:rPr>
        <w:t>保和少镇、</w:t>
      </w:r>
      <w:r>
        <w:rPr>
          <w:rFonts w:hint="eastAsia" w:ascii="宋体" w:hAnsi="宋体" w:eastAsia="仿宋_GB2312"/>
          <w:color w:val="auto"/>
          <w:sz w:val="32"/>
          <w:szCs w:val="32"/>
          <w:highlight w:val="none"/>
          <w:lang w:eastAsia="zh-CN"/>
        </w:rPr>
        <w:t>成吉思汗大街街道办事处、</w:t>
      </w:r>
      <w:r>
        <w:rPr>
          <w:rFonts w:hint="eastAsia" w:ascii="宋体" w:hAnsi="宋体" w:eastAsia="仿宋_GB2312"/>
          <w:color w:val="auto"/>
          <w:sz w:val="32"/>
          <w:szCs w:val="32"/>
          <w:lang w:eastAsia="zh-CN"/>
        </w:rPr>
        <w:t>古路板管理站</w:t>
      </w:r>
      <w:r>
        <w:rPr>
          <w:rFonts w:hint="eastAsia" w:ascii="宋体" w:hAnsi="宋体" w:eastAsia="仿宋_GB2312"/>
          <w:color w:val="auto"/>
          <w:sz w:val="32"/>
          <w:szCs w:val="32"/>
          <w:highlight w:val="none"/>
        </w:rPr>
        <w:t>和森林草原管理单位</w:t>
      </w:r>
      <w:r>
        <w:rPr>
          <w:rFonts w:hint="eastAsia" w:ascii="仿宋_GB2312" w:hAnsi="仿宋_GB2312" w:eastAsia="仿宋_GB2312" w:cs="仿宋_GB2312"/>
          <w:color w:val="auto"/>
          <w:kern w:val="0"/>
          <w:sz w:val="32"/>
          <w:szCs w:val="32"/>
        </w:rPr>
        <w:t>等部门和单位参加。</w:t>
      </w:r>
    </w:p>
    <w:p>
      <w:pPr>
        <w:keepNext w:val="0"/>
        <w:keepLines w:val="0"/>
        <w:pageBreakBefore w:val="0"/>
        <w:widowControl w:val="0"/>
        <w:kinsoku/>
        <w:wordWrap/>
        <w:overflowPunct/>
        <w:topLinePunct w:val="0"/>
        <w:autoSpaceDE/>
        <w:autoSpaceDN/>
        <w:bidi w:val="0"/>
        <w:snapToGrid/>
        <w:spacing w:line="36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主要职责：指导开展灾情调查和灾时跟踪评估，为抢险救灾决策提供信息支持；参与制定救援救灾方案。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lang w:val="en-US" w:eastAsia="zh-CN"/>
        </w:rPr>
        <w:t>（10）</w:t>
      </w:r>
      <w:r>
        <w:rPr>
          <w:rFonts w:hint="eastAsia" w:ascii="仿宋_GB2312" w:hAnsi="仿宋_GB2312" w:eastAsia="仿宋_GB2312" w:cs="仿宋_GB2312"/>
          <w:b w:val="0"/>
          <w:bCs w:val="0"/>
          <w:color w:val="auto"/>
          <w:kern w:val="0"/>
          <w:sz w:val="32"/>
          <w:szCs w:val="32"/>
          <w:lang w:eastAsia="zh-CN"/>
        </w:rPr>
        <w:t>群众生活组</w:t>
      </w:r>
    </w:p>
    <w:p>
      <w:pPr>
        <w:keepNext w:val="0"/>
        <w:keepLines w:val="0"/>
        <w:pageBreakBefore w:val="0"/>
        <w:widowControl w:val="0"/>
        <w:kinsoku/>
        <w:wordWrap/>
        <w:overflowPunct/>
        <w:topLinePunct w:val="0"/>
        <w:autoSpaceDE/>
        <w:autoSpaceDN/>
        <w:bidi w:val="0"/>
        <w:snapToGrid/>
        <w:spacing w:line="36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highlight w:val="none"/>
        </w:rPr>
        <w:t>由</w:t>
      </w:r>
      <w:r>
        <w:rPr>
          <w:rFonts w:hint="eastAsia" w:ascii="仿宋_GB2312" w:hAnsi="仿宋_GB2312" w:eastAsia="仿宋_GB2312" w:cs="仿宋_GB2312"/>
          <w:color w:val="auto"/>
          <w:kern w:val="0"/>
          <w:sz w:val="32"/>
          <w:szCs w:val="32"/>
          <w:highlight w:val="none"/>
          <w:lang w:val="en-US" w:eastAsia="zh-CN"/>
        </w:rPr>
        <w:t>区</w:t>
      </w:r>
      <w:r>
        <w:rPr>
          <w:rFonts w:hint="eastAsia" w:ascii="仿宋_GB2312" w:hAnsi="仿宋_GB2312" w:eastAsia="仿宋_GB2312" w:cs="仿宋_GB2312"/>
          <w:color w:val="auto"/>
          <w:kern w:val="0"/>
          <w:sz w:val="32"/>
          <w:szCs w:val="32"/>
          <w:highlight w:val="none"/>
          <w:lang w:eastAsia="zh-CN"/>
        </w:rPr>
        <w:t>应急管理局</w:t>
      </w:r>
      <w:r>
        <w:rPr>
          <w:rFonts w:hint="eastAsia" w:ascii="仿宋_GB2312" w:hAnsi="仿宋_GB2312" w:eastAsia="仿宋_GB2312" w:cs="仿宋_GB2312"/>
          <w:color w:val="auto"/>
          <w:kern w:val="0"/>
          <w:sz w:val="32"/>
          <w:szCs w:val="32"/>
          <w:highlight w:val="none"/>
        </w:rPr>
        <w:t>牵头，</w:t>
      </w:r>
      <w:r>
        <w:rPr>
          <w:rFonts w:hint="eastAsia" w:ascii="仿宋_GB2312" w:hAnsi="仿宋_GB2312" w:eastAsia="仿宋_GB2312" w:cs="仿宋_GB2312"/>
          <w:color w:val="auto"/>
          <w:kern w:val="0"/>
          <w:sz w:val="32"/>
          <w:szCs w:val="32"/>
          <w:highlight w:val="none"/>
          <w:lang w:eastAsia="zh-CN"/>
        </w:rPr>
        <w:t>发展和改革委员会</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工业和信息化局</w:t>
      </w:r>
      <w:r>
        <w:rPr>
          <w:rFonts w:hint="eastAsia" w:ascii="仿宋_GB2312" w:hAnsi="仿宋_GB2312" w:eastAsia="仿宋_GB2312" w:cs="仿宋_GB2312"/>
          <w:color w:val="auto"/>
          <w:kern w:val="0"/>
          <w:sz w:val="32"/>
          <w:szCs w:val="32"/>
          <w:highlight w:val="none"/>
        </w:rPr>
        <w:t>、民政局</w:t>
      </w:r>
      <w:r>
        <w:rPr>
          <w:rFonts w:hint="eastAsia" w:ascii="仿宋_GB2312" w:hAnsi="仿宋_GB2312" w:eastAsia="仿宋_GB2312" w:cs="仿宋_GB2312"/>
          <w:color w:val="auto"/>
          <w:kern w:val="0"/>
          <w:sz w:val="32"/>
          <w:szCs w:val="32"/>
        </w:rPr>
        <w:t>、财政局等部门和单位参加。</w:t>
      </w:r>
    </w:p>
    <w:p>
      <w:pPr>
        <w:keepNext w:val="0"/>
        <w:keepLines w:val="0"/>
        <w:pageBreakBefore w:val="0"/>
        <w:widowControl w:val="0"/>
        <w:kinsoku/>
        <w:wordWrap/>
        <w:overflowPunct/>
        <w:topLinePunct w:val="0"/>
        <w:autoSpaceDE/>
        <w:autoSpaceDN/>
        <w:bidi w:val="0"/>
        <w:snapToGrid/>
        <w:spacing w:line="36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主要职责：制定受灾群众救助工作方案；下拨</w:t>
      </w: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rPr>
        <w:t>救灾款物并指导发放；统筹灾区生活必需品市场供应，指导灾区油、电、气等重要基础设施抢修；指导做好受灾群众紧急转移安置、过渡期救助和因灾遇难人员家属抚慰等工作；组织国内捐赠、国际援助接收等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（11）社会治安组</w:t>
      </w:r>
    </w:p>
    <w:p>
      <w:pPr>
        <w:keepNext w:val="0"/>
        <w:keepLines w:val="0"/>
        <w:pageBreakBefore w:val="0"/>
        <w:widowControl w:val="0"/>
        <w:kinsoku/>
        <w:wordWrap/>
        <w:overflowPunct/>
        <w:topLinePunct w:val="0"/>
        <w:autoSpaceDE/>
        <w:autoSpaceDN/>
        <w:bidi w:val="0"/>
        <w:snapToGrid/>
        <w:spacing w:line="36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由</w:t>
      </w:r>
      <w:r>
        <w:rPr>
          <w:rFonts w:hint="eastAsia" w:ascii="仿宋_GB2312" w:hAnsi="仿宋_GB2312" w:eastAsia="仿宋_GB2312" w:cs="仿宋_GB2312"/>
          <w:color w:val="auto"/>
          <w:kern w:val="0"/>
          <w:sz w:val="32"/>
          <w:szCs w:val="32"/>
          <w:lang w:eastAsia="zh-CN"/>
        </w:rPr>
        <w:t>公安分局</w:t>
      </w:r>
      <w:r>
        <w:rPr>
          <w:rFonts w:hint="eastAsia" w:ascii="仿宋_GB2312" w:hAnsi="仿宋_GB2312" w:eastAsia="仿宋_GB2312" w:cs="仿宋_GB2312"/>
          <w:color w:val="auto"/>
          <w:kern w:val="0"/>
          <w:sz w:val="32"/>
          <w:szCs w:val="32"/>
        </w:rPr>
        <w:t>牵头，</w:t>
      </w:r>
      <w:r>
        <w:rPr>
          <w:rFonts w:hint="eastAsia" w:ascii="仿宋_GB2312" w:hAnsi="仿宋_GB2312" w:eastAsia="仿宋_GB2312" w:cs="仿宋_GB2312"/>
          <w:color w:val="auto"/>
          <w:kern w:val="0"/>
          <w:sz w:val="32"/>
          <w:szCs w:val="32"/>
          <w:lang w:val="en-US" w:eastAsia="zh-CN"/>
        </w:rPr>
        <w:t>交管大队、武装部</w:t>
      </w:r>
      <w:r>
        <w:rPr>
          <w:rFonts w:hint="eastAsia" w:ascii="仿宋_GB2312" w:hAnsi="仿宋_GB2312" w:eastAsia="仿宋_GB2312" w:cs="仿宋_GB2312"/>
          <w:color w:val="auto"/>
          <w:kern w:val="0"/>
          <w:sz w:val="32"/>
          <w:szCs w:val="32"/>
        </w:rPr>
        <w:t>等相关部门和单位参加。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主要职责：做好森林草原火灾有关违法犯罪案件查处工作；指导协助灾区加强现场管控和治安管理工作；维护社会治安和道路交通秩序，预防和处置群体性事件，维护社会稳定；协调做好火场前线指挥部在灾区时的安全保卫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（12）宣传报道组</w:t>
      </w:r>
    </w:p>
    <w:p>
      <w:pPr>
        <w:keepNext w:val="0"/>
        <w:keepLines w:val="0"/>
        <w:pageBreakBefore w:val="0"/>
        <w:widowControl w:val="0"/>
        <w:kinsoku/>
        <w:wordWrap/>
        <w:overflowPunct/>
        <w:topLinePunct w:val="0"/>
        <w:autoSpaceDE/>
        <w:autoSpaceDN/>
        <w:bidi w:val="0"/>
        <w:snapToGrid/>
        <w:spacing w:line="36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由</w:t>
      </w: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rPr>
        <w:t>委宣传部牵头，文化旅游广电局、</w:t>
      </w:r>
      <w:r>
        <w:rPr>
          <w:rFonts w:hint="eastAsia" w:ascii="仿宋_GB2312" w:hAnsi="仿宋_GB2312" w:eastAsia="仿宋_GB2312" w:cs="仿宋_GB2312"/>
          <w:color w:val="auto"/>
          <w:kern w:val="0"/>
          <w:sz w:val="32"/>
          <w:szCs w:val="32"/>
          <w:lang w:eastAsia="zh-CN"/>
        </w:rPr>
        <w:t>应急管理局</w:t>
      </w:r>
      <w:r>
        <w:rPr>
          <w:rFonts w:hint="eastAsia" w:ascii="仿宋_GB2312" w:hAnsi="仿宋_GB2312" w:eastAsia="仿宋_GB2312" w:cs="仿宋_GB2312"/>
          <w:color w:val="auto"/>
          <w:kern w:val="0"/>
          <w:sz w:val="32"/>
          <w:szCs w:val="32"/>
        </w:rPr>
        <w:t>等部门和单位参加。</w:t>
      </w:r>
    </w:p>
    <w:p>
      <w:pPr>
        <w:pStyle w:val="8"/>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eastAsia="仿宋_GB2312"/>
          <w:color w:val="auto"/>
          <w:lang w:eastAsia="zh-CN"/>
        </w:rPr>
      </w:pPr>
      <w:r>
        <w:rPr>
          <w:rFonts w:hint="eastAsia" w:ascii="仿宋_GB2312" w:hAnsi="仿宋_GB2312" w:eastAsia="仿宋_GB2312" w:cs="仿宋_GB2312"/>
          <w:color w:val="auto"/>
          <w:kern w:val="0"/>
          <w:sz w:val="32"/>
          <w:szCs w:val="32"/>
        </w:rPr>
        <w:t>主要职责：统筹新闻宣传报道工作；指导做好现场发布会和新闻媒体服务管理；组织开展舆情监测研判，加强舆情管控；指导做好科普宣传</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outlineLvl w:val="1"/>
        <w:rPr>
          <w:rFonts w:hint="eastAsia" w:ascii="黑体" w:eastAsia="黑体"/>
          <w:bCs/>
          <w:color w:val="auto"/>
          <w:kern w:val="44"/>
          <w:sz w:val="32"/>
          <w:szCs w:val="44"/>
          <w:lang w:val="en-US" w:eastAsia="zh-CN"/>
        </w:rPr>
      </w:pPr>
      <w:bookmarkStart w:id="115" w:name="_Toc29549"/>
      <w:bookmarkStart w:id="116" w:name="_Toc20546"/>
      <w:bookmarkStart w:id="117" w:name="_Toc1631"/>
      <w:r>
        <w:rPr>
          <w:rFonts w:hint="eastAsia" w:ascii="黑体" w:eastAsia="黑体"/>
          <w:bCs/>
          <w:color w:val="auto"/>
          <w:kern w:val="44"/>
          <w:sz w:val="32"/>
          <w:szCs w:val="44"/>
          <w:lang w:val="en-US" w:eastAsia="zh-CN"/>
        </w:rPr>
        <w:t>3.4 专家组</w:t>
      </w:r>
      <w:bookmarkEnd w:id="115"/>
      <w:bookmarkEnd w:id="116"/>
      <w:bookmarkEnd w:id="117"/>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ascii="宋体" w:hAnsi="宋体" w:eastAsia="仿宋_GB2312"/>
          <w:color w:val="auto"/>
          <w:sz w:val="32"/>
          <w:szCs w:val="32"/>
        </w:rPr>
      </w:pPr>
      <w:r>
        <w:rPr>
          <w:rFonts w:hint="eastAsia" w:ascii="宋体" w:hAnsi="宋体" w:eastAsia="仿宋_GB2312"/>
          <w:color w:val="auto"/>
          <w:sz w:val="32"/>
          <w:szCs w:val="32"/>
        </w:rPr>
        <w:t>区森防指应设立专家组，负责对</w:t>
      </w:r>
      <w:r>
        <w:rPr>
          <w:rFonts w:hint="eastAsia" w:ascii="宋体" w:hAnsi="宋体" w:eastAsia="仿宋_GB2312"/>
          <w:color w:val="auto"/>
          <w:sz w:val="32"/>
          <w:szCs w:val="32"/>
          <w:lang w:val="en-US" w:eastAsia="zh-CN"/>
        </w:rPr>
        <w:t>本</w:t>
      </w:r>
      <w:r>
        <w:rPr>
          <w:rFonts w:hint="eastAsia" w:ascii="宋体" w:hAnsi="宋体" w:eastAsia="仿宋_GB2312"/>
          <w:color w:val="auto"/>
          <w:sz w:val="32"/>
          <w:szCs w:val="32"/>
        </w:rPr>
        <w:t>区森林草原防灭火工作提供政策、技术咨询与建议；负责对火场态势及火灾发展趋势进行科学分析和评估，提出灭火方案建议，为扑救决策提供技术支撑。</w:t>
      </w:r>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outlineLvl w:val="0"/>
        <w:rPr>
          <w:rFonts w:hint="eastAsia" w:ascii="黑体" w:eastAsia="黑体"/>
          <w:bCs/>
          <w:color w:val="auto"/>
          <w:kern w:val="44"/>
          <w:sz w:val="32"/>
          <w:szCs w:val="44"/>
          <w:lang w:val="en-US" w:eastAsia="zh-CN"/>
        </w:rPr>
      </w:pPr>
      <w:bookmarkStart w:id="118" w:name="_Toc10797"/>
      <w:bookmarkStart w:id="119" w:name="_Toc13876"/>
      <w:bookmarkStart w:id="120" w:name="_Toc23480"/>
      <w:r>
        <w:rPr>
          <w:rFonts w:hint="eastAsia" w:ascii="黑体" w:eastAsia="黑体"/>
          <w:bCs/>
          <w:color w:val="auto"/>
          <w:kern w:val="44"/>
          <w:sz w:val="32"/>
          <w:szCs w:val="44"/>
          <w:lang w:val="en-US" w:eastAsia="zh-CN"/>
        </w:rPr>
        <w:t>4 处置力量</w:t>
      </w:r>
      <w:bookmarkEnd w:id="118"/>
      <w:bookmarkEnd w:id="119"/>
      <w:bookmarkEnd w:id="120"/>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outlineLvl w:val="1"/>
        <w:rPr>
          <w:rFonts w:hint="eastAsia" w:ascii="黑体" w:eastAsia="黑体"/>
          <w:bCs/>
          <w:color w:val="auto"/>
          <w:kern w:val="44"/>
          <w:sz w:val="32"/>
          <w:szCs w:val="44"/>
          <w:lang w:val="en-US" w:eastAsia="zh-CN"/>
        </w:rPr>
      </w:pPr>
      <w:bookmarkStart w:id="121" w:name="_Toc16035"/>
      <w:bookmarkStart w:id="122" w:name="_Toc12275"/>
      <w:bookmarkStart w:id="123" w:name="_Toc18615"/>
      <w:r>
        <w:rPr>
          <w:rFonts w:hint="eastAsia" w:ascii="黑体" w:eastAsia="黑体"/>
          <w:bCs/>
          <w:color w:val="auto"/>
          <w:kern w:val="44"/>
          <w:sz w:val="32"/>
          <w:szCs w:val="44"/>
          <w:lang w:val="en-US" w:eastAsia="zh-CN"/>
        </w:rPr>
        <w:t>4.1 力量编成</w:t>
      </w:r>
      <w:bookmarkEnd w:id="121"/>
      <w:bookmarkEnd w:id="122"/>
      <w:bookmarkEnd w:id="123"/>
    </w:p>
    <w:p>
      <w:pPr>
        <w:pageBreakBefore w:val="0"/>
        <w:widowControl w:val="0"/>
        <w:kinsoku/>
        <w:wordWrap/>
        <w:overflowPunct/>
        <w:topLinePunct w:val="0"/>
        <w:autoSpaceDE/>
        <w:autoSpaceDN/>
        <w:bidi w:val="0"/>
        <w:spacing w:line="560" w:lineRule="atLeast"/>
        <w:ind w:firstLine="560"/>
        <w:textAlignment w:val="auto"/>
        <w:rPr>
          <w:rFonts w:hint="default" w:ascii="Times New Roman" w:hAnsi="Times New Roman" w:cs="Times New Roman"/>
          <w:i w:val="0"/>
          <w:iCs w:val="0"/>
          <w:caps w:val="0"/>
          <w:color w:val="auto"/>
          <w:spacing w:val="0"/>
          <w:sz w:val="32"/>
          <w:szCs w:val="32"/>
        </w:rPr>
      </w:pPr>
      <w:bookmarkStart w:id="124" w:name="_Toc19383"/>
      <w:bookmarkStart w:id="125" w:name="_Toc7801"/>
      <w:r>
        <w:rPr>
          <w:rFonts w:hint="eastAsia" w:ascii="仿宋_GB2312" w:hAnsi="Times New Roman" w:eastAsia="仿宋_GB2312" w:cs="仿宋_GB2312"/>
          <w:i w:val="0"/>
          <w:iCs w:val="0"/>
          <w:caps w:val="0"/>
          <w:color w:val="auto"/>
          <w:spacing w:val="0"/>
          <w:sz w:val="32"/>
          <w:szCs w:val="32"/>
          <w:shd w:val="clear" w:color="auto" w:fill="FFFFFF"/>
        </w:rPr>
        <w:t>扑救森林草原火灾以专业、半专业防扑火队伍、消防救援队伍</w:t>
      </w:r>
      <w:r>
        <w:rPr>
          <w:rFonts w:hint="eastAsia" w:ascii="仿宋_GB2312" w:hAnsi="Times New Roman" w:eastAsia="仿宋_GB2312" w:cs="仿宋_GB2312"/>
          <w:i w:val="0"/>
          <w:iCs w:val="0"/>
          <w:caps w:val="0"/>
          <w:color w:val="auto"/>
          <w:spacing w:val="0"/>
          <w:sz w:val="32"/>
          <w:szCs w:val="32"/>
          <w:shd w:val="clear" w:color="auto" w:fill="FFFFFF"/>
          <w:lang w:eastAsia="zh-CN"/>
        </w:rPr>
        <w:t>、</w:t>
      </w:r>
      <w:r>
        <w:rPr>
          <w:rFonts w:hint="eastAsia" w:ascii="仿宋_GB2312" w:hAnsi="Times New Roman" w:eastAsia="仿宋_GB2312" w:cs="仿宋_GB2312"/>
          <w:i w:val="0"/>
          <w:iCs w:val="0"/>
          <w:caps w:val="0"/>
          <w:color w:val="auto"/>
          <w:spacing w:val="0"/>
          <w:sz w:val="32"/>
          <w:szCs w:val="32"/>
          <w:shd w:val="clear" w:color="auto" w:fill="FFFFFF"/>
        </w:rPr>
        <w:t>内蒙古森林消防总队特勤大队等受过专业培训的扑火力量为主，解放军、武警部队、民兵应急分队等支援力量为辅，社会救援力量为补充。必要时可动员当地林区职工、机关干部及当地群众等力量协助做好</w:t>
      </w:r>
      <w:r>
        <w:rPr>
          <w:rFonts w:hint="eastAsia" w:ascii="仿宋_GB2312" w:hAnsi="仿宋_GB2312" w:eastAsia="仿宋_GB2312" w:cs="仿宋_GB2312"/>
          <w:i w:val="0"/>
          <w:iCs w:val="0"/>
          <w:caps w:val="0"/>
          <w:color w:val="auto"/>
          <w:spacing w:val="0"/>
          <w:sz w:val="32"/>
          <w:szCs w:val="32"/>
          <w:shd w:val="clear" w:color="auto" w:fill="FFFFFF"/>
        </w:rPr>
        <w:t>扑救工作。</w:t>
      </w:r>
      <w:r>
        <w:rPr>
          <w:rFonts w:hint="eastAsia" w:ascii="仿宋_GB2312" w:hAnsi="仿宋_GB2312" w:eastAsia="仿宋_GB2312" w:cs="仿宋_GB2312"/>
          <w:color w:val="auto"/>
          <w:kern w:val="0"/>
          <w:sz w:val="32"/>
          <w:szCs w:val="32"/>
        </w:rPr>
        <w:t>不得动员未经专业训练以及残疾人、孕妇和未成年人等其他不适宜参加森林草原火灾扑救的人员参加扑救工作</w:t>
      </w:r>
      <w:r>
        <w:rPr>
          <w:rFonts w:hint="eastAsia" w:ascii="仿宋" w:hAnsi="仿宋" w:eastAsia="仿宋" w:cs="仿宋"/>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outlineLvl w:val="1"/>
        <w:rPr>
          <w:rFonts w:hint="default" w:ascii="黑体" w:eastAsia="黑体" w:cs="Times New Roman"/>
          <w:bCs/>
          <w:color w:val="auto"/>
          <w:kern w:val="44"/>
          <w:sz w:val="32"/>
          <w:szCs w:val="32"/>
          <w:highlight w:val="none"/>
          <w:lang w:val="en-US" w:eastAsia="zh-CN"/>
        </w:rPr>
      </w:pPr>
      <w:bookmarkStart w:id="126" w:name="_Toc1327"/>
      <w:bookmarkStart w:id="127" w:name="_Toc29788"/>
      <w:r>
        <w:rPr>
          <w:rFonts w:hint="default" w:ascii="黑体" w:eastAsia="黑体" w:cs="Times New Roman"/>
          <w:bCs/>
          <w:color w:val="auto"/>
          <w:kern w:val="44"/>
          <w:sz w:val="32"/>
          <w:szCs w:val="32"/>
          <w:highlight w:val="none"/>
          <w:lang w:val="en-US" w:eastAsia="zh-CN"/>
        </w:rPr>
        <w:t>4.2</w:t>
      </w:r>
      <w:r>
        <w:rPr>
          <w:rFonts w:hint="eastAsia" w:ascii="黑体" w:eastAsia="黑体" w:cs="Times New Roman"/>
          <w:bCs/>
          <w:color w:val="auto"/>
          <w:kern w:val="44"/>
          <w:sz w:val="32"/>
          <w:szCs w:val="32"/>
          <w:highlight w:val="none"/>
          <w:lang w:val="en-US" w:eastAsia="zh-CN"/>
        </w:rPr>
        <w:t xml:space="preserve"> 力量调动</w:t>
      </w:r>
      <w:bookmarkEnd w:id="126"/>
      <w:bookmarkEnd w:id="127"/>
    </w:p>
    <w:p>
      <w:pPr>
        <w:keepNext w:val="0"/>
        <w:keepLines w:val="0"/>
        <w:pageBreakBefore w:val="0"/>
        <w:widowControl w:val="0"/>
        <w:kinsoku/>
        <w:wordWrap/>
        <w:overflowPunct/>
        <w:topLinePunct w:val="0"/>
        <w:autoSpaceDE/>
        <w:autoSpaceDN/>
        <w:bidi w:val="0"/>
        <w:snapToGrid/>
        <w:spacing w:line="62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根据森林草原火灾应对需要，首先调动属地扑火力量，邻近力量作为增援力量。跨</w:t>
      </w:r>
      <w:r>
        <w:rPr>
          <w:rFonts w:hint="eastAsia" w:ascii="仿宋_GB2312" w:hAnsi="仿宋_GB2312" w:eastAsia="仿宋_GB2312" w:cs="仿宋_GB2312"/>
          <w:i w:val="0"/>
          <w:iCs w:val="0"/>
          <w:caps w:val="0"/>
          <w:color w:val="auto"/>
          <w:spacing w:val="0"/>
          <w:sz w:val="32"/>
          <w:szCs w:val="32"/>
          <w:shd w:val="clear" w:color="auto" w:fill="FFFFFF"/>
          <w:lang w:val="en-US" w:eastAsia="zh-CN"/>
        </w:rPr>
        <w:t>镇（街道）</w:t>
      </w:r>
      <w:r>
        <w:rPr>
          <w:rFonts w:hint="eastAsia" w:ascii="仿宋_GB2312" w:hAnsi="仿宋_GB2312" w:eastAsia="仿宋_GB2312" w:cs="仿宋_GB2312"/>
          <w:i w:val="0"/>
          <w:iCs w:val="0"/>
          <w:caps w:val="0"/>
          <w:color w:val="auto"/>
          <w:spacing w:val="0"/>
          <w:sz w:val="32"/>
          <w:szCs w:val="32"/>
          <w:shd w:val="clear" w:color="auto" w:fill="FFFFFF"/>
        </w:rPr>
        <w:t>调动专业、半专业防扑火队伍增援扑火时，由</w:t>
      </w:r>
      <w:r>
        <w:rPr>
          <w:rFonts w:hint="eastAsia" w:ascii="仿宋_GB2312" w:hAnsi="仿宋_GB2312" w:eastAsia="仿宋_GB2312" w:cs="仿宋_GB2312"/>
          <w:i w:val="0"/>
          <w:iCs w:val="0"/>
          <w:caps w:val="0"/>
          <w:color w:val="auto"/>
          <w:spacing w:val="0"/>
          <w:sz w:val="32"/>
          <w:szCs w:val="32"/>
          <w:shd w:val="clear" w:color="auto" w:fill="FFFFFF"/>
          <w:lang w:val="en-US" w:eastAsia="zh-CN"/>
        </w:rPr>
        <w:t>区</w:t>
      </w:r>
      <w:r>
        <w:rPr>
          <w:rFonts w:hint="eastAsia" w:ascii="仿宋_GB2312" w:hAnsi="仿宋_GB2312" w:eastAsia="仿宋_GB2312" w:cs="仿宋_GB2312"/>
          <w:i w:val="0"/>
          <w:iCs w:val="0"/>
          <w:caps w:val="0"/>
          <w:color w:val="auto"/>
          <w:spacing w:val="0"/>
          <w:sz w:val="32"/>
          <w:szCs w:val="32"/>
          <w:shd w:val="clear" w:color="auto" w:fill="FFFFFF"/>
        </w:rPr>
        <w:t>森防指按照就近增援,从低火险区调集的原则，根据发生火情的位置，统筹协调相邻专业（半专业）防扑火队伍增援扑火。</w:t>
      </w:r>
      <w:r>
        <w:rPr>
          <w:rFonts w:hint="eastAsia" w:ascii="仿宋_GB2312" w:hAnsi="仿宋_GB2312" w:eastAsia="仿宋_GB2312" w:cs="仿宋_GB2312"/>
          <w:color w:val="auto"/>
          <w:kern w:val="0"/>
          <w:sz w:val="32"/>
          <w:szCs w:val="32"/>
        </w:rPr>
        <w:t>消防救援</w:t>
      </w:r>
      <w:r>
        <w:rPr>
          <w:rFonts w:hint="eastAsia" w:ascii="仿宋_GB2312" w:hAnsi="仿宋_GB2312" w:eastAsia="仿宋_GB2312" w:cs="仿宋_GB2312"/>
          <w:color w:val="auto"/>
          <w:kern w:val="0"/>
          <w:sz w:val="32"/>
          <w:szCs w:val="32"/>
          <w:lang w:val="en-US" w:eastAsia="zh-CN"/>
        </w:rPr>
        <w:t>大</w:t>
      </w:r>
      <w:r>
        <w:rPr>
          <w:rFonts w:hint="eastAsia" w:ascii="仿宋_GB2312" w:hAnsi="仿宋_GB2312" w:eastAsia="仿宋_GB2312" w:cs="仿宋_GB2312"/>
          <w:color w:val="auto"/>
          <w:kern w:val="0"/>
          <w:sz w:val="32"/>
          <w:szCs w:val="32"/>
        </w:rPr>
        <w:t>队负责组织调动力量参与森林草原火灾扑救以及居民区、重要目标和危险源等保护工作。</w:t>
      </w:r>
      <w:r>
        <w:rPr>
          <w:rFonts w:hint="eastAsia" w:ascii="仿宋_GB2312" w:hAnsi="仿宋_GB2312" w:eastAsia="仿宋_GB2312" w:cs="仿宋_GB2312"/>
          <w:i w:val="0"/>
          <w:iCs w:val="0"/>
          <w:caps w:val="0"/>
          <w:color w:val="auto"/>
          <w:spacing w:val="0"/>
          <w:sz w:val="32"/>
          <w:szCs w:val="32"/>
          <w:shd w:val="clear" w:color="auto" w:fill="FFFFFF"/>
          <w:lang w:val="en-US" w:eastAsia="zh-CN"/>
        </w:rPr>
        <w:t>当需要市森防指</w:t>
      </w:r>
      <w:r>
        <w:rPr>
          <w:rFonts w:hint="eastAsia" w:ascii="仿宋_GB2312" w:hAnsi="仿宋_GB2312" w:eastAsia="仿宋_GB2312" w:cs="仿宋_GB2312"/>
          <w:i w:val="0"/>
          <w:iCs w:val="0"/>
          <w:caps w:val="0"/>
          <w:color w:val="auto"/>
          <w:spacing w:val="0"/>
          <w:sz w:val="32"/>
          <w:szCs w:val="32"/>
          <w:shd w:val="clear" w:color="auto" w:fill="FFFFFF"/>
        </w:rPr>
        <w:t>调动防扑火队伍增援时，由</w:t>
      </w:r>
      <w:r>
        <w:rPr>
          <w:rFonts w:hint="eastAsia" w:ascii="仿宋_GB2312" w:hAnsi="仿宋_GB2312" w:eastAsia="仿宋_GB2312" w:cs="仿宋_GB2312"/>
          <w:i w:val="0"/>
          <w:iCs w:val="0"/>
          <w:caps w:val="0"/>
          <w:color w:val="auto"/>
          <w:spacing w:val="0"/>
          <w:sz w:val="32"/>
          <w:szCs w:val="32"/>
          <w:shd w:val="clear" w:color="auto" w:fill="FFFFFF"/>
          <w:lang w:val="en-US" w:eastAsia="zh-CN"/>
        </w:rPr>
        <w:t>区森防指总指挥</w:t>
      </w:r>
      <w:r>
        <w:rPr>
          <w:rFonts w:hint="eastAsia" w:ascii="仿宋_GB2312" w:hAnsi="仿宋_GB2312" w:eastAsia="仿宋_GB2312" w:cs="仿宋_GB2312"/>
          <w:i w:val="0"/>
          <w:iCs w:val="0"/>
          <w:caps w:val="0"/>
          <w:color w:val="auto"/>
          <w:spacing w:val="0"/>
          <w:sz w:val="32"/>
          <w:szCs w:val="32"/>
          <w:shd w:val="clear" w:color="auto" w:fill="FFFFFF"/>
        </w:rPr>
        <w:t>向</w:t>
      </w:r>
      <w:r>
        <w:rPr>
          <w:rFonts w:hint="eastAsia" w:ascii="仿宋_GB2312" w:hAnsi="仿宋_GB2312" w:eastAsia="仿宋_GB2312" w:cs="仿宋_GB2312"/>
          <w:i w:val="0"/>
          <w:iCs w:val="0"/>
          <w:caps w:val="0"/>
          <w:color w:val="auto"/>
          <w:spacing w:val="0"/>
          <w:sz w:val="32"/>
          <w:szCs w:val="32"/>
          <w:shd w:val="clear" w:color="auto" w:fill="FFFFFF"/>
          <w:lang w:val="en-US" w:eastAsia="zh-CN"/>
        </w:rPr>
        <w:t>市森防指</w:t>
      </w:r>
      <w:r>
        <w:rPr>
          <w:rFonts w:hint="eastAsia" w:ascii="仿宋_GB2312" w:hAnsi="仿宋_GB2312" w:eastAsia="仿宋_GB2312" w:cs="仿宋_GB2312"/>
          <w:i w:val="0"/>
          <w:iCs w:val="0"/>
          <w:caps w:val="0"/>
          <w:color w:val="auto"/>
          <w:spacing w:val="0"/>
          <w:sz w:val="32"/>
          <w:szCs w:val="32"/>
          <w:shd w:val="clear" w:color="auto" w:fill="FFFFFF"/>
        </w:rPr>
        <w:t>提出申请。</w:t>
      </w:r>
    </w:p>
    <w:p>
      <w:pPr>
        <w:keepNext w:val="0"/>
        <w:keepLines w:val="0"/>
        <w:pageBreakBefore w:val="0"/>
        <w:widowControl w:val="0"/>
        <w:kinsoku/>
        <w:wordWrap/>
        <w:overflowPunct/>
        <w:topLinePunct w:val="0"/>
        <w:autoSpaceDE/>
        <w:autoSpaceDN/>
        <w:bidi w:val="0"/>
        <w:snapToGrid/>
        <w:spacing w:line="62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调动解放军和武警部队执行扑火任务时，按照有关规定执行。</w:t>
      </w:r>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outlineLvl w:val="0"/>
        <w:rPr>
          <w:rFonts w:hint="eastAsia" w:ascii="黑体" w:eastAsia="黑体"/>
          <w:bCs/>
          <w:color w:val="auto"/>
          <w:kern w:val="44"/>
          <w:sz w:val="32"/>
          <w:szCs w:val="44"/>
          <w:lang w:val="en-US" w:eastAsia="zh-CN"/>
        </w:rPr>
      </w:pPr>
      <w:bookmarkStart w:id="128" w:name="_Toc11344"/>
      <w:r>
        <w:rPr>
          <w:rFonts w:hint="eastAsia" w:ascii="黑体" w:eastAsia="黑体"/>
          <w:bCs/>
          <w:color w:val="auto"/>
          <w:kern w:val="44"/>
          <w:sz w:val="32"/>
          <w:szCs w:val="44"/>
          <w:lang w:val="en-US" w:eastAsia="zh-CN"/>
        </w:rPr>
        <w:t>5 预警和信息报告</w:t>
      </w:r>
      <w:bookmarkEnd w:id="124"/>
      <w:bookmarkEnd w:id="125"/>
      <w:bookmarkEnd w:id="128"/>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outlineLvl w:val="1"/>
        <w:rPr>
          <w:rFonts w:hint="eastAsia" w:ascii="黑体" w:eastAsia="黑体"/>
          <w:bCs/>
          <w:color w:val="auto"/>
          <w:kern w:val="44"/>
          <w:sz w:val="32"/>
          <w:szCs w:val="44"/>
          <w:lang w:val="en-US" w:eastAsia="zh-CN"/>
        </w:rPr>
      </w:pPr>
      <w:bookmarkStart w:id="129" w:name="_Toc23169"/>
      <w:bookmarkStart w:id="130" w:name="_Toc24331"/>
      <w:bookmarkStart w:id="131" w:name="_Toc26230"/>
      <w:r>
        <w:rPr>
          <w:rFonts w:hint="eastAsia" w:ascii="黑体" w:eastAsia="黑体"/>
          <w:bCs/>
          <w:color w:val="auto"/>
          <w:kern w:val="44"/>
          <w:sz w:val="32"/>
          <w:szCs w:val="44"/>
          <w:lang w:val="en-US" w:eastAsia="zh-CN"/>
        </w:rPr>
        <w:t>5.1 预警</w:t>
      </w:r>
      <w:bookmarkEnd w:id="129"/>
      <w:bookmarkEnd w:id="130"/>
      <w:bookmarkEnd w:id="131"/>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Cs/>
          <w:color w:val="auto"/>
          <w:kern w:val="44"/>
          <w:sz w:val="32"/>
          <w:szCs w:val="44"/>
        </w:rPr>
      </w:pPr>
      <w:r>
        <w:rPr>
          <w:rFonts w:hint="eastAsia" w:ascii="仿宋_GB2312" w:hAnsi="仿宋_GB2312" w:eastAsia="仿宋_GB2312" w:cs="仿宋_GB2312"/>
          <w:bCs/>
          <w:color w:val="auto"/>
          <w:kern w:val="44"/>
          <w:sz w:val="32"/>
          <w:szCs w:val="44"/>
          <w:lang w:val="en-US" w:eastAsia="zh-CN"/>
        </w:rPr>
        <w:t>5</w:t>
      </w:r>
      <w:r>
        <w:rPr>
          <w:rFonts w:hint="eastAsia" w:ascii="仿宋_GB2312" w:hAnsi="仿宋_GB2312" w:eastAsia="仿宋_GB2312" w:cs="仿宋_GB2312"/>
          <w:bCs/>
          <w:color w:val="auto"/>
          <w:kern w:val="44"/>
          <w:sz w:val="32"/>
          <w:szCs w:val="44"/>
        </w:rPr>
        <w:t>.1.1 预警分级</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根据森林火险等级、火行为特征和可能造成的危害程度，将森林火险预警级别划分为四个等级，由高到低依次用红色、橙色、黄色和蓝色表示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具体预警分级见附件3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Cs/>
          <w:color w:val="auto"/>
          <w:kern w:val="44"/>
          <w:sz w:val="32"/>
          <w:szCs w:val="44"/>
          <w:lang w:val="en-US" w:eastAsia="zh-CN"/>
        </w:rPr>
      </w:pPr>
      <w:r>
        <w:rPr>
          <w:rFonts w:hint="eastAsia" w:ascii="仿宋_GB2312" w:hAnsi="仿宋_GB2312" w:eastAsia="仿宋_GB2312" w:cs="仿宋_GB2312"/>
          <w:bCs/>
          <w:color w:val="auto"/>
          <w:kern w:val="44"/>
          <w:sz w:val="32"/>
          <w:szCs w:val="44"/>
          <w:lang w:val="en-US" w:eastAsia="zh-CN"/>
        </w:rPr>
        <w:t>5.1.2 预警发布</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在市森防指发布预警信息后，</w:t>
      </w:r>
      <w:r>
        <w:rPr>
          <w:rFonts w:hint="eastAsia" w:ascii="仿宋_GB2312" w:hAnsi="仿宋_GB2312" w:eastAsia="仿宋_GB2312" w:cs="仿宋_GB2312"/>
          <w:color w:val="auto"/>
          <w:kern w:val="0"/>
          <w:sz w:val="32"/>
          <w:szCs w:val="32"/>
        </w:rPr>
        <w:t>由</w:t>
      </w: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rPr>
        <w:t>应急管理</w:t>
      </w:r>
      <w:r>
        <w:rPr>
          <w:rFonts w:hint="eastAsia" w:ascii="仿宋_GB2312" w:hAnsi="仿宋_GB2312" w:eastAsia="仿宋_GB2312" w:cs="仿宋_GB2312"/>
          <w:color w:val="auto"/>
          <w:kern w:val="0"/>
          <w:sz w:val="32"/>
          <w:szCs w:val="32"/>
          <w:lang w:val="en-US" w:eastAsia="zh-CN"/>
        </w:rPr>
        <w:t>局</w:t>
      </w:r>
      <w:r>
        <w:rPr>
          <w:rFonts w:hint="eastAsia" w:ascii="仿宋_GB2312" w:hAnsi="仿宋_GB2312" w:eastAsia="仿宋_GB2312" w:cs="仿宋_GB2312"/>
          <w:color w:val="auto"/>
          <w:kern w:val="0"/>
          <w:sz w:val="32"/>
          <w:szCs w:val="32"/>
        </w:rPr>
        <w:t>组织林草、公安和气象</w:t>
      </w:r>
      <w:r>
        <w:rPr>
          <w:rFonts w:hint="eastAsia" w:ascii="仿宋_GB2312" w:hAnsi="仿宋_GB2312" w:eastAsia="仿宋_GB2312" w:cs="仿宋_GB2312"/>
          <w:color w:val="auto"/>
          <w:kern w:val="0"/>
          <w:sz w:val="32"/>
          <w:szCs w:val="32"/>
          <w:lang w:val="en-US" w:eastAsia="zh-CN"/>
        </w:rPr>
        <w:t>等</w:t>
      </w:r>
      <w:r>
        <w:rPr>
          <w:rFonts w:hint="eastAsia" w:ascii="仿宋_GB2312" w:hAnsi="仿宋_GB2312" w:eastAsia="仿宋_GB2312" w:cs="仿宋_GB2312"/>
          <w:color w:val="auto"/>
          <w:kern w:val="0"/>
          <w:sz w:val="32"/>
          <w:szCs w:val="32"/>
        </w:rPr>
        <w:t>部门加强会商，联合制作森林草原火险预警信息，并通过预警信息</w:t>
      </w:r>
      <w:r>
        <w:rPr>
          <w:rFonts w:hint="eastAsia" w:ascii="仿宋_GB2312" w:hAnsi="仿宋_GB2312" w:eastAsia="仿宋_GB2312" w:cs="仿宋_GB2312"/>
          <w:color w:val="auto"/>
          <w:kern w:val="0"/>
          <w:sz w:val="32"/>
          <w:szCs w:val="32"/>
          <w:highlight w:val="none"/>
        </w:rPr>
        <w:t>发布平台和广播、电视、报刊、网络、微信公众号以及应急广播等方式向涉险区域相关部门和社</w:t>
      </w:r>
      <w:r>
        <w:rPr>
          <w:rFonts w:hint="eastAsia" w:ascii="仿宋_GB2312" w:hAnsi="仿宋_GB2312" w:eastAsia="仿宋_GB2312" w:cs="仿宋_GB2312"/>
          <w:color w:val="auto"/>
          <w:kern w:val="0"/>
          <w:sz w:val="32"/>
          <w:szCs w:val="32"/>
        </w:rPr>
        <w:t>会公众发布。</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Cs/>
          <w:color w:val="auto"/>
          <w:kern w:val="44"/>
          <w:sz w:val="32"/>
          <w:szCs w:val="44"/>
          <w:lang w:val="en-US" w:eastAsia="zh-CN"/>
        </w:rPr>
      </w:pPr>
      <w:r>
        <w:rPr>
          <w:rFonts w:hint="eastAsia" w:ascii="仿宋_GB2312" w:hAnsi="仿宋_GB2312" w:eastAsia="仿宋_GB2312" w:cs="仿宋_GB2312"/>
          <w:bCs/>
          <w:color w:val="auto"/>
          <w:kern w:val="44"/>
          <w:sz w:val="32"/>
          <w:szCs w:val="44"/>
          <w:lang w:val="en-US" w:eastAsia="zh-CN"/>
        </w:rPr>
        <w:t>5.1.3 预警响应</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kern w:val="2"/>
          <w:sz w:val="32"/>
          <w:szCs w:val="32"/>
        </w:rPr>
      </w:pPr>
      <w:r>
        <w:rPr>
          <w:rFonts w:hint="eastAsia" w:ascii="宋体" w:hAnsi="宋体" w:eastAsia="仿宋_GB2312" w:cstheme="minorBidi"/>
          <w:color w:val="auto"/>
          <w:kern w:val="2"/>
          <w:sz w:val="32"/>
          <w:szCs w:val="32"/>
        </w:rPr>
        <w:t>当发布蓝色预警信息后，进入四级工作状态：预警地区</w:t>
      </w:r>
      <w:r>
        <w:rPr>
          <w:rFonts w:hint="eastAsia" w:ascii="仿宋_GB2312" w:hAnsi="仿宋_GB2312" w:eastAsia="仿宋_GB2312" w:cs="仿宋_GB2312"/>
          <w:color w:val="auto"/>
          <w:kern w:val="2"/>
          <w:sz w:val="32"/>
          <w:szCs w:val="32"/>
        </w:rPr>
        <w:t>要密切关注天气情况和森林草原火险预警变化，加强森林草原防火巡护、森林草原防火宣传工作，加强火源管理，落实防灭火装备、物资等各项扑火准备；各级防灭火部门实行24小时值班值守，</w:t>
      </w:r>
      <w:r>
        <w:rPr>
          <w:rFonts w:hint="eastAsia" w:ascii="仿宋_GB2312" w:hAnsi="仿宋_GB2312" w:eastAsia="仿宋_GB2312" w:cs="仿宋_GB2312"/>
          <w:color w:val="auto"/>
          <w:kern w:val="2"/>
          <w:sz w:val="32"/>
          <w:szCs w:val="32"/>
          <w:lang w:val="en-US" w:eastAsia="zh-CN"/>
        </w:rPr>
        <w:t>区森防指</w:t>
      </w:r>
      <w:r>
        <w:rPr>
          <w:rFonts w:hint="eastAsia" w:ascii="仿宋_GB2312" w:hAnsi="仿宋_GB2312" w:eastAsia="仿宋_GB2312" w:cs="仿宋_GB2312"/>
          <w:color w:val="auto"/>
          <w:kern w:val="2"/>
          <w:sz w:val="32"/>
          <w:szCs w:val="32"/>
        </w:rPr>
        <w:t>主要领导坚守岗位</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专业、半专业森林草原消防队伍集中食宿，组织对森林草原火灾应急预案进行培训和演练。</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宋体" w:hAnsi="宋体" w:eastAsia="仿宋_GB2312" w:cstheme="minorBidi"/>
          <w:color w:val="auto"/>
          <w:kern w:val="2"/>
          <w:sz w:val="32"/>
          <w:szCs w:val="32"/>
        </w:rPr>
      </w:pPr>
      <w:r>
        <w:rPr>
          <w:rFonts w:hint="eastAsia" w:ascii="宋体" w:hAnsi="宋体" w:eastAsia="仿宋_GB2312" w:cstheme="minorBidi"/>
          <w:color w:val="auto"/>
          <w:kern w:val="2"/>
          <w:sz w:val="32"/>
          <w:szCs w:val="32"/>
        </w:rPr>
        <w:t>当发布黄色预警信息后，进入三级工作状态：在四级工作的基础上，预警地区人民政府分管领导坚守岗位，区</w:t>
      </w:r>
      <w:r>
        <w:rPr>
          <w:rFonts w:hint="eastAsia" w:ascii="宋体" w:hAnsi="宋体" w:eastAsia="仿宋_GB2312" w:cstheme="minorBidi"/>
          <w:color w:val="auto"/>
          <w:kern w:val="2"/>
          <w:sz w:val="32"/>
          <w:szCs w:val="32"/>
          <w:lang w:val="en-US" w:eastAsia="zh-CN"/>
        </w:rPr>
        <w:t>森</w:t>
      </w:r>
      <w:r>
        <w:rPr>
          <w:rFonts w:hint="eastAsia" w:ascii="宋体" w:hAnsi="宋体" w:eastAsia="仿宋_GB2312" w:cstheme="minorBidi"/>
          <w:color w:val="auto"/>
          <w:kern w:val="2"/>
          <w:sz w:val="32"/>
          <w:szCs w:val="32"/>
        </w:rPr>
        <w:t>防指及相关防火部门主要领导亲自带班，加强卫星林火监测信息反馈和瞭望监测，做好预警信息发布，专业扑火队伍靠前布防，各护林站做好巡护工作，各类专业、半专业扑火救援队伍全部进入待命状态，确保接到命令后在30分钟内集合出发。</w:t>
      </w:r>
    </w:p>
    <w:p>
      <w:pPr>
        <w:pStyle w:val="12"/>
        <w:pageBreakBefore w:val="0"/>
        <w:widowControl w:val="0"/>
        <w:kinsoku/>
        <w:wordWrap/>
        <w:overflowPunct/>
        <w:topLinePunct w:val="0"/>
        <w:autoSpaceDE/>
        <w:autoSpaceDN/>
        <w:bidi w:val="0"/>
        <w:spacing w:beforeAutospacing="0" w:afterAutospacing="0" w:line="360" w:lineRule="auto"/>
        <w:ind w:firstLine="640" w:firstLineChars="200"/>
        <w:jc w:val="both"/>
        <w:textAlignment w:val="auto"/>
        <w:rPr>
          <w:rFonts w:ascii="宋体" w:hAnsi="宋体" w:eastAsia="仿宋_GB2312" w:cstheme="minorBidi"/>
          <w:color w:val="auto"/>
          <w:kern w:val="2"/>
          <w:sz w:val="32"/>
          <w:szCs w:val="32"/>
        </w:rPr>
      </w:pPr>
      <w:r>
        <w:rPr>
          <w:rFonts w:hint="eastAsia" w:ascii="宋体" w:hAnsi="宋体" w:eastAsia="仿宋_GB2312" w:cstheme="minorBidi"/>
          <w:color w:val="auto"/>
          <w:kern w:val="2"/>
          <w:sz w:val="32"/>
          <w:szCs w:val="32"/>
        </w:rPr>
        <w:t>当发布橙色预警信息后，进入二级工作状态：在三级工作基础上，区委、区政府分管领导，预警地区镇</w:t>
      </w:r>
      <w:r>
        <w:rPr>
          <w:rFonts w:hint="eastAsia" w:ascii="宋体" w:hAnsi="宋体" w:eastAsia="仿宋_GB2312" w:cstheme="minorBidi"/>
          <w:color w:val="auto"/>
          <w:kern w:val="2"/>
          <w:sz w:val="32"/>
          <w:szCs w:val="32"/>
          <w:lang w:eastAsia="zh-CN"/>
        </w:rPr>
        <w:t>（</w:t>
      </w:r>
      <w:r>
        <w:rPr>
          <w:rFonts w:hint="eastAsia" w:ascii="宋体" w:hAnsi="宋体" w:eastAsia="仿宋_GB2312" w:cstheme="minorBidi"/>
          <w:color w:val="auto"/>
          <w:kern w:val="2"/>
          <w:sz w:val="32"/>
          <w:szCs w:val="32"/>
          <w:lang w:val="en-US" w:eastAsia="zh-CN"/>
        </w:rPr>
        <w:t>街道</w:t>
      </w:r>
      <w:r>
        <w:rPr>
          <w:rFonts w:hint="eastAsia" w:ascii="宋体" w:hAnsi="宋体" w:eastAsia="仿宋_GB2312" w:cstheme="minorBidi"/>
          <w:color w:val="auto"/>
          <w:kern w:val="2"/>
          <w:sz w:val="32"/>
          <w:szCs w:val="32"/>
          <w:lang w:eastAsia="zh-CN"/>
        </w:rPr>
        <w:t>）</w:t>
      </w:r>
      <w:r>
        <w:rPr>
          <w:rFonts w:hint="eastAsia" w:ascii="宋体" w:hAnsi="宋体" w:eastAsia="仿宋_GB2312" w:cstheme="minorBidi"/>
          <w:color w:val="auto"/>
          <w:kern w:val="2"/>
          <w:sz w:val="32"/>
          <w:szCs w:val="32"/>
        </w:rPr>
        <w:t>党委、政府主要领导坚守岗位，进一步加强野外火源管理，开展森林草原防火检查，各护林站加强巡护，护林员坚守包片山头地块密集巡护，加大预警信息播报频度，做好物资调拨准备；各类扑火专业队伍、半专业扑火队伍、应急消防救援大队进入战备状态，确保接到命令后在1</w:t>
      </w:r>
      <w:r>
        <w:rPr>
          <w:rFonts w:hint="eastAsia" w:ascii="宋体" w:hAnsi="宋体" w:eastAsia="仿宋_GB2312" w:cstheme="minorBidi"/>
          <w:color w:val="auto"/>
          <w:kern w:val="2"/>
          <w:sz w:val="32"/>
          <w:szCs w:val="32"/>
          <w:lang w:val="en-US" w:eastAsia="zh-CN"/>
        </w:rPr>
        <w:t>0</w:t>
      </w:r>
      <w:r>
        <w:rPr>
          <w:rFonts w:hint="eastAsia" w:ascii="宋体" w:hAnsi="宋体" w:eastAsia="仿宋_GB2312" w:cstheme="minorBidi"/>
          <w:color w:val="auto"/>
          <w:kern w:val="2"/>
          <w:sz w:val="32"/>
          <w:szCs w:val="32"/>
        </w:rPr>
        <w:t>分钟内集合出发；专家组成员及驻地军队、武警、民兵、预备役部队等做好参与扑火准备；区防火指挥部办公室派出工作组。</w:t>
      </w:r>
    </w:p>
    <w:p>
      <w:pPr>
        <w:pStyle w:val="12"/>
        <w:pageBreakBefore w:val="0"/>
        <w:widowControl w:val="0"/>
        <w:kinsoku/>
        <w:wordWrap/>
        <w:overflowPunct/>
        <w:topLinePunct w:val="0"/>
        <w:autoSpaceDE/>
        <w:autoSpaceDN/>
        <w:bidi w:val="0"/>
        <w:spacing w:beforeAutospacing="0" w:afterAutospacing="0" w:line="360" w:lineRule="auto"/>
        <w:ind w:firstLine="640" w:firstLineChars="200"/>
        <w:jc w:val="both"/>
        <w:textAlignment w:val="auto"/>
        <w:rPr>
          <w:rFonts w:ascii="宋体" w:hAnsi="宋体" w:eastAsia="仿宋_GB2312" w:cstheme="minorBidi"/>
          <w:color w:val="auto"/>
          <w:kern w:val="2"/>
          <w:sz w:val="32"/>
          <w:szCs w:val="32"/>
        </w:rPr>
      </w:pPr>
      <w:r>
        <w:rPr>
          <w:rFonts w:hint="eastAsia" w:ascii="宋体" w:hAnsi="宋体" w:eastAsia="仿宋_GB2312" w:cstheme="minorBidi"/>
          <w:color w:val="auto"/>
          <w:kern w:val="2"/>
          <w:sz w:val="32"/>
          <w:szCs w:val="32"/>
        </w:rPr>
        <w:t>当发布红色预警信息后，进入一级工作状态：在二级工作基础上，区委、区政府、镇</w:t>
      </w:r>
      <w:r>
        <w:rPr>
          <w:rFonts w:hint="eastAsia" w:ascii="宋体" w:hAnsi="宋体" w:eastAsia="仿宋_GB2312" w:cstheme="minorBidi"/>
          <w:color w:val="auto"/>
          <w:kern w:val="2"/>
          <w:sz w:val="32"/>
          <w:szCs w:val="32"/>
          <w:lang w:eastAsia="zh-CN"/>
        </w:rPr>
        <w:t>（</w:t>
      </w:r>
      <w:r>
        <w:rPr>
          <w:rFonts w:hint="eastAsia" w:ascii="宋体" w:hAnsi="宋体" w:eastAsia="仿宋_GB2312" w:cstheme="minorBidi"/>
          <w:color w:val="auto"/>
          <w:kern w:val="2"/>
          <w:sz w:val="32"/>
          <w:szCs w:val="32"/>
          <w:lang w:val="en-US" w:eastAsia="zh-CN"/>
        </w:rPr>
        <w:t>街道</w:t>
      </w:r>
      <w:r>
        <w:rPr>
          <w:rFonts w:hint="eastAsia" w:ascii="宋体" w:hAnsi="宋体" w:eastAsia="仿宋_GB2312" w:cstheme="minorBidi"/>
          <w:color w:val="auto"/>
          <w:kern w:val="2"/>
          <w:sz w:val="32"/>
          <w:szCs w:val="32"/>
          <w:lang w:eastAsia="zh-CN"/>
        </w:rPr>
        <w:t>）</w:t>
      </w:r>
      <w:r>
        <w:rPr>
          <w:rFonts w:hint="eastAsia" w:ascii="宋体" w:hAnsi="宋体" w:eastAsia="仿宋_GB2312" w:cstheme="minorBidi"/>
          <w:color w:val="auto"/>
          <w:kern w:val="2"/>
          <w:sz w:val="32"/>
          <w:szCs w:val="32"/>
        </w:rPr>
        <w:t>党政主要领导坚守岗位，区政府及时发布防火戒严令；各类专业扑火队伍要将灭火机具和给养装备事先装车，人员整装集合待命，进入临战状态，确保接到命令后在5分钟内登车出发；区防火指挥部派出工作组。</w:t>
      </w:r>
    </w:p>
    <w:p>
      <w:pPr>
        <w:pStyle w:val="12"/>
        <w:pageBreakBefore w:val="0"/>
        <w:widowControl w:val="0"/>
        <w:kinsoku/>
        <w:wordWrap/>
        <w:overflowPunct/>
        <w:topLinePunct w:val="0"/>
        <w:autoSpaceDE/>
        <w:autoSpaceDN/>
        <w:bidi w:val="0"/>
        <w:spacing w:beforeAutospacing="0" w:afterAutospacing="0" w:line="360" w:lineRule="auto"/>
        <w:ind w:firstLine="640" w:firstLineChars="200"/>
        <w:jc w:val="both"/>
        <w:textAlignment w:val="auto"/>
        <w:rPr>
          <w:rFonts w:hint="eastAsia" w:ascii="微软雅黑" w:hAnsi="微软雅黑" w:eastAsia="微软雅黑" w:cs="微软雅黑"/>
          <w:color w:val="auto"/>
          <w:sz w:val="16"/>
          <w:szCs w:val="16"/>
        </w:rPr>
      </w:pPr>
      <w:r>
        <w:rPr>
          <w:rFonts w:hint="eastAsia" w:ascii="宋体" w:hAnsi="宋体" w:eastAsia="仿宋_GB2312" w:cstheme="minorBidi"/>
          <w:color w:val="auto"/>
          <w:kern w:val="2"/>
          <w:sz w:val="32"/>
          <w:szCs w:val="32"/>
        </w:rPr>
        <w:t>区森防指视情对预警地区森林草原防灭火工作进行督导和检查</w:t>
      </w:r>
      <w:r>
        <w:rPr>
          <w:rFonts w:hint="eastAsia" w:ascii="微软雅黑" w:hAnsi="微软雅黑" w:eastAsia="微软雅黑" w:cs="微软雅黑"/>
          <w:color w:val="auto"/>
          <w:sz w:val="16"/>
          <w:szCs w:val="16"/>
        </w:rPr>
        <w:t>。</w:t>
      </w:r>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outlineLvl w:val="1"/>
        <w:rPr>
          <w:rFonts w:hint="eastAsia" w:ascii="黑体" w:eastAsia="黑体"/>
          <w:bCs/>
          <w:color w:val="auto"/>
          <w:kern w:val="44"/>
          <w:sz w:val="32"/>
          <w:szCs w:val="44"/>
          <w:lang w:val="en-US" w:eastAsia="zh-CN"/>
        </w:rPr>
      </w:pPr>
      <w:bookmarkStart w:id="132" w:name="_Toc18177"/>
      <w:bookmarkStart w:id="133" w:name="_Toc6640"/>
      <w:bookmarkStart w:id="134" w:name="_Toc12763"/>
      <w:r>
        <w:rPr>
          <w:rFonts w:hint="eastAsia" w:ascii="黑体" w:eastAsia="黑体"/>
          <w:bCs/>
          <w:color w:val="auto"/>
          <w:kern w:val="44"/>
          <w:sz w:val="32"/>
          <w:szCs w:val="44"/>
          <w:lang w:val="en-US" w:eastAsia="zh-CN"/>
        </w:rPr>
        <w:t>5.2 预警预报与信息报告</w:t>
      </w:r>
      <w:bookmarkEnd w:id="132"/>
      <w:bookmarkEnd w:id="133"/>
      <w:bookmarkEnd w:id="134"/>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宋体" w:hAnsi="宋体" w:eastAsia="仿宋_GB2312" w:cstheme="minorBidi"/>
          <w:color w:val="auto"/>
          <w:kern w:val="2"/>
          <w:sz w:val="32"/>
          <w:szCs w:val="32"/>
          <w:lang w:eastAsia="zh-CN"/>
        </w:rPr>
      </w:pPr>
      <w:r>
        <w:rPr>
          <w:rFonts w:hint="eastAsia" w:ascii="宋体" w:hAnsi="宋体" w:eastAsia="仿宋_GB2312" w:cstheme="minorBidi"/>
          <w:color w:val="auto"/>
          <w:kern w:val="2"/>
          <w:sz w:val="32"/>
          <w:szCs w:val="32"/>
          <w:lang w:val="en-US" w:eastAsia="zh-CN"/>
        </w:rPr>
        <w:t>成吉思汗大街街道办事处、保和少镇、古路板管理站及相关</w:t>
      </w:r>
      <w:r>
        <w:rPr>
          <w:rFonts w:hint="eastAsia" w:ascii="宋体" w:hAnsi="宋体" w:eastAsia="仿宋_GB2312" w:cstheme="minorBidi"/>
          <w:color w:val="auto"/>
          <w:kern w:val="2"/>
          <w:sz w:val="32"/>
          <w:szCs w:val="32"/>
          <w:highlight w:val="none"/>
          <w:lang w:eastAsia="zh-CN"/>
        </w:rPr>
        <w:t>村（居、社区）</w:t>
      </w:r>
      <w:r>
        <w:rPr>
          <w:rFonts w:hint="eastAsia" w:ascii="宋体" w:hAnsi="宋体" w:eastAsia="仿宋_GB2312" w:cstheme="minorBidi"/>
          <w:color w:val="auto"/>
          <w:kern w:val="2"/>
          <w:sz w:val="32"/>
          <w:szCs w:val="32"/>
        </w:rPr>
        <w:t>要及时、准确、规范报告森林草原火灾信息，及时通报受威胁地区有关单位和相邻行政区域森林草原防灭火指挥机构。对以下森林草原火灾信息，区</w:t>
      </w:r>
      <w:r>
        <w:rPr>
          <w:rFonts w:hint="eastAsia" w:ascii="宋体" w:hAnsi="宋体" w:eastAsia="仿宋_GB2312" w:cstheme="minorBidi"/>
          <w:color w:val="auto"/>
          <w:kern w:val="2"/>
          <w:sz w:val="32"/>
          <w:szCs w:val="32"/>
          <w:lang w:val="en-US" w:eastAsia="zh-CN"/>
        </w:rPr>
        <w:t>森防指</w:t>
      </w:r>
      <w:r>
        <w:rPr>
          <w:rFonts w:hint="eastAsia" w:ascii="宋体" w:hAnsi="宋体" w:eastAsia="仿宋_GB2312" w:cstheme="minorBidi"/>
          <w:color w:val="auto"/>
          <w:kern w:val="2"/>
          <w:sz w:val="32"/>
          <w:szCs w:val="32"/>
        </w:rPr>
        <w:t>办公室及时向区委、区政府和市森林草原防灭火指挥部办公室报告，同时通报指挥部成员单位和相关部门</w:t>
      </w:r>
      <w:r>
        <w:rPr>
          <w:rFonts w:hint="eastAsia" w:ascii="宋体" w:hAnsi="宋体" w:eastAsia="仿宋_GB2312" w:cstheme="minorBidi"/>
          <w:color w:val="auto"/>
          <w:kern w:val="2"/>
          <w:sz w:val="32"/>
          <w:szCs w:val="32"/>
          <w:lang w:eastAsia="zh-CN"/>
        </w:rPr>
        <w:t>。</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right="0" w:firstLine="641"/>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（1）一般及以上森林草原火灾；</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right="0" w:firstLine="641"/>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（2）发生在</w:t>
      </w:r>
      <w:r>
        <w:rPr>
          <w:rFonts w:hint="eastAsia" w:ascii="仿宋_GB2312" w:hAnsi="仿宋_GB2312" w:eastAsia="仿宋_GB2312" w:cs="仿宋_GB2312"/>
          <w:i w:val="0"/>
          <w:iCs w:val="0"/>
          <w:caps w:val="0"/>
          <w:color w:val="auto"/>
          <w:spacing w:val="0"/>
          <w:sz w:val="32"/>
          <w:szCs w:val="32"/>
          <w:shd w:val="clear" w:color="auto" w:fill="FFFFFF"/>
          <w:lang w:val="en-US" w:eastAsia="zh-CN"/>
        </w:rPr>
        <w:t>区</w:t>
      </w:r>
      <w:r>
        <w:rPr>
          <w:rFonts w:hint="eastAsia" w:ascii="仿宋_GB2312" w:hAnsi="仿宋_GB2312" w:eastAsia="仿宋_GB2312" w:cs="仿宋_GB2312"/>
          <w:i w:val="0"/>
          <w:iCs w:val="0"/>
          <w:caps w:val="0"/>
          <w:color w:val="auto"/>
          <w:spacing w:val="0"/>
          <w:sz w:val="32"/>
          <w:szCs w:val="32"/>
          <w:shd w:val="clear" w:color="auto" w:fill="FFFFFF"/>
        </w:rPr>
        <w:t>交界地区危险性大的森林草原火灾；</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right="0" w:firstLine="641"/>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（3）造成</w:t>
      </w:r>
      <w:r>
        <w:rPr>
          <w:rFonts w:hint="eastAsia" w:ascii="仿宋_GB2312" w:hAnsi="仿宋_GB2312" w:eastAsia="仿宋_GB2312" w:cs="仿宋_GB2312"/>
          <w:i w:val="0"/>
          <w:iCs w:val="0"/>
          <w:caps w:val="0"/>
          <w:color w:val="auto"/>
          <w:spacing w:val="0"/>
          <w:sz w:val="32"/>
          <w:szCs w:val="32"/>
          <w:shd w:val="clear" w:color="auto" w:fill="FFFFFF"/>
          <w:lang w:val="en-US" w:eastAsia="zh-CN"/>
        </w:rPr>
        <w:t>人员</w:t>
      </w:r>
      <w:r>
        <w:rPr>
          <w:rFonts w:hint="eastAsia" w:ascii="仿宋_GB2312" w:hAnsi="仿宋_GB2312" w:eastAsia="仿宋_GB2312" w:cs="仿宋_GB2312"/>
          <w:i w:val="0"/>
          <w:iCs w:val="0"/>
          <w:caps w:val="0"/>
          <w:color w:val="auto"/>
          <w:spacing w:val="0"/>
          <w:sz w:val="32"/>
          <w:szCs w:val="32"/>
          <w:shd w:val="clear" w:color="auto" w:fill="FFFFFF"/>
        </w:rPr>
        <w:t>重伤</w:t>
      </w:r>
      <w:r>
        <w:rPr>
          <w:rFonts w:hint="eastAsia" w:ascii="仿宋_GB2312" w:hAnsi="仿宋_GB2312" w:eastAsia="仿宋_GB2312" w:cs="仿宋_GB2312"/>
          <w:i w:val="0"/>
          <w:iCs w:val="0"/>
          <w:caps w:val="0"/>
          <w:color w:val="auto"/>
          <w:spacing w:val="0"/>
          <w:sz w:val="32"/>
          <w:szCs w:val="32"/>
          <w:shd w:val="clear" w:color="auto" w:fill="FFFFFF"/>
          <w:lang w:val="en-US" w:eastAsia="zh-CN"/>
        </w:rPr>
        <w:t>及死亡</w:t>
      </w:r>
      <w:r>
        <w:rPr>
          <w:rFonts w:hint="eastAsia" w:ascii="仿宋_GB2312" w:hAnsi="仿宋_GB2312" w:eastAsia="仿宋_GB2312" w:cs="仿宋_GB2312"/>
          <w:i w:val="0"/>
          <w:iCs w:val="0"/>
          <w:caps w:val="0"/>
          <w:color w:val="auto"/>
          <w:spacing w:val="0"/>
          <w:sz w:val="32"/>
          <w:szCs w:val="32"/>
          <w:shd w:val="clear" w:color="auto" w:fill="FFFFFF"/>
        </w:rPr>
        <w:t>的森林草原火灾；</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right="0" w:firstLine="641"/>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（4）威胁居民区和重要设施的森林草原火灾；</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right="0" w:firstLine="641"/>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（5）发生在森林防火重点单位危险性大的森林草原火灾；</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right="0" w:firstLine="641"/>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（6）</w:t>
      </w:r>
      <w:r>
        <w:rPr>
          <w:rFonts w:hint="eastAsia" w:ascii="仿宋_GB2312" w:hAnsi="仿宋_GB2312" w:eastAsia="仿宋_GB2312" w:cs="仿宋_GB2312"/>
          <w:i w:val="0"/>
          <w:iCs w:val="0"/>
          <w:caps w:val="0"/>
          <w:color w:val="auto"/>
          <w:spacing w:val="0"/>
          <w:sz w:val="32"/>
          <w:szCs w:val="32"/>
          <w:shd w:val="clear" w:color="auto" w:fill="FFFFFF"/>
          <w:lang w:val="en-US" w:eastAsia="zh-CN"/>
        </w:rPr>
        <w:t>30分钟</w:t>
      </w:r>
      <w:r>
        <w:rPr>
          <w:rFonts w:hint="eastAsia" w:ascii="仿宋_GB2312" w:hAnsi="仿宋_GB2312" w:eastAsia="仿宋_GB2312" w:cs="仿宋_GB2312"/>
          <w:i w:val="0"/>
          <w:iCs w:val="0"/>
          <w:caps w:val="0"/>
          <w:color w:val="auto"/>
          <w:spacing w:val="0"/>
          <w:sz w:val="32"/>
          <w:szCs w:val="32"/>
          <w:shd w:val="clear" w:color="auto" w:fill="FFFFFF"/>
        </w:rPr>
        <w:t>尚未扑灭明火的森林草原火灾；</w:t>
      </w:r>
    </w:p>
    <w:p>
      <w:pPr>
        <w:pStyle w:val="12"/>
        <w:pageBreakBefore w:val="0"/>
        <w:widowControl w:val="0"/>
        <w:kinsoku/>
        <w:wordWrap/>
        <w:overflowPunct/>
        <w:topLinePunct w:val="0"/>
        <w:autoSpaceDE/>
        <w:autoSpaceDN/>
        <w:bidi w:val="0"/>
        <w:spacing w:beforeAutospacing="0" w:afterAutospacing="0" w:line="360" w:lineRule="auto"/>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7</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其他需要报告的森林草原火灾。</w:t>
      </w:r>
    </w:p>
    <w:p>
      <w:pPr>
        <w:pStyle w:val="12"/>
        <w:pageBreakBefore w:val="0"/>
        <w:widowControl w:val="0"/>
        <w:kinsoku/>
        <w:wordWrap/>
        <w:overflowPunct/>
        <w:topLinePunct w:val="0"/>
        <w:autoSpaceDE/>
        <w:autoSpaceDN/>
        <w:bidi w:val="0"/>
        <w:spacing w:beforeAutospacing="0" w:afterAutospacing="0" w:line="360" w:lineRule="auto"/>
        <w:ind w:firstLine="640" w:firstLineChars="200"/>
        <w:textAlignment w:val="auto"/>
        <w:rPr>
          <w:rFonts w:hint="eastAsia" w:ascii="仿宋_GB2312" w:hAnsi="仿宋_GB2312" w:eastAsia="仿宋_GB2312" w:cs="仿宋_GB2312"/>
          <w:bCs/>
          <w:color w:val="auto"/>
          <w:kern w:val="44"/>
          <w:sz w:val="32"/>
          <w:szCs w:val="44"/>
          <w:lang w:val="en-US" w:eastAsia="zh-CN"/>
        </w:rPr>
      </w:pPr>
      <w:r>
        <w:rPr>
          <w:rFonts w:hint="eastAsia" w:ascii="仿宋_GB2312" w:hAnsi="仿宋_GB2312" w:eastAsia="仿宋_GB2312" w:cs="仿宋_GB2312"/>
          <w:bCs/>
          <w:color w:val="auto"/>
          <w:kern w:val="44"/>
          <w:sz w:val="32"/>
          <w:szCs w:val="44"/>
          <w:lang w:val="en-US" w:eastAsia="zh-CN"/>
        </w:rPr>
        <w:t>5.2.1 火灾预警预报</w:t>
      </w:r>
    </w:p>
    <w:p>
      <w:pPr>
        <w:pStyle w:val="12"/>
        <w:pageBreakBefore w:val="0"/>
        <w:widowControl w:val="0"/>
        <w:kinsoku/>
        <w:wordWrap/>
        <w:overflowPunct/>
        <w:topLinePunct w:val="0"/>
        <w:autoSpaceDE/>
        <w:autoSpaceDN/>
        <w:bidi w:val="0"/>
        <w:spacing w:beforeAutospacing="0" w:afterAutospacing="0"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rPr>
        <w:t>成吉思汗大街街道办事处、保和少镇、古路板管理站及</w:t>
      </w:r>
      <w:r>
        <w:rPr>
          <w:rFonts w:hint="eastAsia" w:ascii="仿宋_GB2312" w:hAnsi="仿宋_GB2312" w:eastAsia="仿宋_GB2312" w:cs="仿宋_GB2312"/>
          <w:color w:val="auto"/>
          <w:kern w:val="2"/>
          <w:sz w:val="32"/>
          <w:szCs w:val="32"/>
        </w:rPr>
        <w:t>有关部门(单位)要及时向区森防指办公室报告各类森林草原火灾信息，区森防</w:t>
      </w:r>
      <w:r>
        <w:rPr>
          <w:rFonts w:hint="eastAsia" w:ascii="仿宋_GB2312" w:hAnsi="仿宋_GB2312" w:eastAsia="仿宋_GB2312" w:cs="仿宋_GB2312"/>
          <w:color w:val="auto"/>
          <w:kern w:val="2"/>
          <w:sz w:val="32"/>
          <w:szCs w:val="32"/>
          <w:lang w:val="en-US" w:eastAsia="zh-CN"/>
        </w:rPr>
        <w:t>指</w:t>
      </w:r>
      <w:r>
        <w:rPr>
          <w:rFonts w:hint="eastAsia" w:ascii="仿宋_GB2312" w:hAnsi="仿宋_GB2312" w:eastAsia="仿宋_GB2312" w:cs="仿宋_GB2312"/>
          <w:color w:val="auto"/>
          <w:kern w:val="2"/>
          <w:sz w:val="32"/>
          <w:szCs w:val="32"/>
        </w:rPr>
        <w:t>办公室与报告火情现场保持实时联络，随时掌握火场动态信息，在第一时间内向区森防指报告。根据火场发展态势，综合研判各方面信息，及时对森林草原火灾做出预警，并向相关单位通报，做好应急救援准备，接到命令迅速组织力量进行扑救。</w:t>
      </w:r>
    </w:p>
    <w:p>
      <w:pPr>
        <w:pStyle w:val="12"/>
        <w:keepNext w:val="0"/>
        <w:keepLines w:val="0"/>
        <w:pageBreakBefore w:val="0"/>
        <w:widowControl w:val="0"/>
        <w:kinsoku/>
        <w:wordWrap/>
        <w:overflowPunct/>
        <w:topLinePunct w:val="0"/>
        <w:autoSpaceDE/>
        <w:autoSpaceDN/>
        <w:bidi w:val="0"/>
        <w:spacing w:beforeAutospacing="0" w:afterAutospacing="0" w:line="360" w:lineRule="auto"/>
        <w:ind w:firstLine="640" w:firstLineChars="200"/>
        <w:textAlignment w:val="auto"/>
        <w:rPr>
          <w:rFonts w:hint="eastAsia" w:ascii="仿宋_GB2312" w:hAnsi="仿宋_GB2312" w:eastAsia="仿宋_GB2312" w:cs="仿宋_GB2312"/>
          <w:bCs/>
          <w:color w:val="auto"/>
          <w:kern w:val="44"/>
          <w:sz w:val="32"/>
          <w:szCs w:val="44"/>
          <w:lang w:val="en-US" w:eastAsia="zh-CN"/>
        </w:rPr>
      </w:pPr>
      <w:r>
        <w:rPr>
          <w:rFonts w:hint="eastAsia" w:ascii="仿宋_GB2312" w:hAnsi="仿宋_GB2312" w:eastAsia="仿宋_GB2312" w:cs="仿宋_GB2312"/>
          <w:bCs/>
          <w:color w:val="auto"/>
          <w:kern w:val="44"/>
          <w:sz w:val="32"/>
          <w:szCs w:val="44"/>
          <w:lang w:val="en-US" w:eastAsia="zh-CN"/>
        </w:rPr>
        <w:t>5.2.2 火灾信息处置</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5</w:t>
      </w:r>
      <w:r>
        <w:rPr>
          <w:rFonts w:hint="eastAsia" w:ascii="仿宋_GB2312" w:hAnsi="仿宋_GB2312" w:eastAsia="仿宋_GB2312" w:cs="仿宋_GB2312"/>
          <w:color w:val="auto"/>
          <w:kern w:val="2"/>
          <w:sz w:val="32"/>
          <w:szCs w:val="32"/>
        </w:rPr>
        <w:t>.2.2.1火情信息报告内容：火灾发生的时间、地点、区域概况、火灾造成的损失(包括人员伤亡情况、林木、农作物、牲畜、房屋、重要设施等)、采取措施、扑救人员情况等。</w:t>
      </w:r>
    </w:p>
    <w:p>
      <w:pPr>
        <w:pStyle w:val="12"/>
        <w:pageBreakBefore w:val="0"/>
        <w:widowControl w:val="0"/>
        <w:kinsoku/>
        <w:wordWrap/>
        <w:overflowPunct/>
        <w:topLinePunct w:val="0"/>
        <w:autoSpaceDE/>
        <w:autoSpaceDN/>
        <w:bidi w:val="0"/>
        <w:spacing w:beforeAutospacing="0" w:afterAutospacing="0" w:line="360" w:lineRule="auto"/>
        <w:ind w:firstLine="640" w:firstLineChars="200"/>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rPr>
        <w:t>5</w:t>
      </w:r>
      <w:r>
        <w:rPr>
          <w:rFonts w:hint="eastAsia" w:ascii="仿宋_GB2312" w:hAnsi="仿宋_GB2312" w:eastAsia="仿宋_GB2312" w:cs="仿宋_GB2312"/>
          <w:color w:val="auto"/>
          <w:kern w:val="2"/>
          <w:sz w:val="32"/>
          <w:szCs w:val="32"/>
          <w:highlight w:val="none"/>
        </w:rPr>
        <w:t>.2.2.2火情报告</w:t>
      </w:r>
    </w:p>
    <w:p>
      <w:pPr>
        <w:pStyle w:val="12"/>
        <w:pageBreakBefore w:val="0"/>
        <w:widowControl w:val="0"/>
        <w:kinsoku/>
        <w:wordWrap/>
        <w:overflowPunct/>
        <w:topLinePunct w:val="0"/>
        <w:autoSpaceDE/>
        <w:autoSpaceDN/>
        <w:bidi w:val="0"/>
        <w:spacing w:beforeAutospacing="0" w:afterAutospacing="0" w:line="360" w:lineRule="auto"/>
        <w:ind w:firstLine="640" w:firstLineChars="200"/>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1</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火情初报。各镇（街</w:t>
      </w:r>
      <w:r>
        <w:rPr>
          <w:rFonts w:hint="eastAsia" w:ascii="仿宋_GB2312" w:hAnsi="仿宋_GB2312" w:eastAsia="仿宋_GB2312" w:cs="仿宋_GB2312"/>
          <w:color w:val="auto"/>
          <w:kern w:val="2"/>
          <w:sz w:val="32"/>
          <w:szCs w:val="32"/>
          <w:highlight w:val="none"/>
          <w:lang w:val="en-US" w:eastAsia="zh-CN"/>
        </w:rPr>
        <w:t>道</w:t>
      </w:r>
      <w:r>
        <w:rPr>
          <w:rFonts w:hint="eastAsia" w:ascii="仿宋_GB2312" w:hAnsi="仿宋_GB2312" w:eastAsia="仿宋_GB2312" w:cs="仿宋_GB2312"/>
          <w:color w:val="auto"/>
          <w:kern w:val="2"/>
          <w:sz w:val="32"/>
          <w:szCs w:val="32"/>
          <w:highlight w:val="none"/>
        </w:rPr>
        <w:t>）和防火相关单位应加强防火各项措施的落实，加强火源管控和巡查巡护，对本行政区域内发生的森林草原火情，应在第一时间发现第一时间采取措施进行扑救；保和少镇、</w:t>
      </w:r>
      <w:r>
        <w:rPr>
          <w:rFonts w:hint="eastAsia" w:ascii="仿宋_GB2312" w:hAnsi="仿宋_GB2312" w:eastAsia="仿宋_GB2312" w:cs="仿宋_GB2312"/>
          <w:color w:val="auto"/>
          <w:kern w:val="2"/>
          <w:sz w:val="32"/>
          <w:szCs w:val="32"/>
          <w:highlight w:val="none"/>
          <w:lang w:eastAsia="zh-CN"/>
        </w:rPr>
        <w:t>成吉思汗大街街道办事处</w:t>
      </w:r>
      <w:r>
        <w:rPr>
          <w:rFonts w:hint="eastAsia" w:ascii="仿宋_GB2312" w:hAnsi="仿宋_GB2312" w:eastAsia="仿宋_GB2312" w:cs="仿宋_GB2312"/>
          <w:color w:val="auto"/>
          <w:kern w:val="2"/>
          <w:sz w:val="32"/>
          <w:szCs w:val="32"/>
          <w:highlight w:val="none"/>
        </w:rPr>
        <w:t>、各村</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rPr>
        <w:t>居、社区</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eastAsia="zh-CN"/>
        </w:rPr>
        <w:t>古路板管理站</w:t>
      </w:r>
      <w:r>
        <w:rPr>
          <w:rFonts w:hint="eastAsia" w:ascii="仿宋_GB2312" w:hAnsi="仿宋_GB2312" w:eastAsia="仿宋_GB2312" w:cs="仿宋_GB2312"/>
          <w:color w:val="auto"/>
          <w:kern w:val="2"/>
          <w:sz w:val="32"/>
          <w:szCs w:val="32"/>
          <w:highlight w:val="none"/>
        </w:rPr>
        <w:t>防火工作人员发现森林草原火情后，立即向所在各</w:t>
      </w:r>
      <w:r>
        <w:rPr>
          <w:rFonts w:hint="eastAsia" w:ascii="仿宋_GB2312" w:hAnsi="仿宋_GB2312" w:eastAsia="仿宋_GB2312" w:cs="仿宋_GB2312"/>
          <w:color w:val="auto"/>
          <w:kern w:val="2"/>
          <w:sz w:val="32"/>
          <w:szCs w:val="32"/>
          <w:highlight w:val="none"/>
          <w:lang w:eastAsia="zh-CN"/>
        </w:rPr>
        <w:t>镇（街道）</w:t>
      </w:r>
      <w:r>
        <w:rPr>
          <w:rFonts w:hint="eastAsia" w:ascii="仿宋_GB2312" w:hAnsi="仿宋_GB2312" w:eastAsia="仿宋_GB2312" w:cs="仿宋_GB2312"/>
          <w:color w:val="auto"/>
          <w:kern w:val="2"/>
          <w:sz w:val="32"/>
          <w:szCs w:val="32"/>
          <w:highlight w:val="none"/>
        </w:rPr>
        <w:t>、林场的防火负责人电话报告，并同时报火警电话；各镇（街</w:t>
      </w:r>
      <w:r>
        <w:rPr>
          <w:rFonts w:hint="eastAsia" w:ascii="仿宋_GB2312" w:hAnsi="仿宋_GB2312" w:eastAsia="仿宋_GB2312" w:cs="仿宋_GB2312"/>
          <w:color w:val="auto"/>
          <w:kern w:val="2"/>
          <w:sz w:val="32"/>
          <w:szCs w:val="32"/>
          <w:highlight w:val="none"/>
          <w:lang w:val="en-US" w:eastAsia="zh-CN"/>
        </w:rPr>
        <w:t>道</w:t>
      </w:r>
      <w:r>
        <w:rPr>
          <w:rFonts w:hint="eastAsia" w:ascii="仿宋_GB2312" w:hAnsi="仿宋_GB2312" w:eastAsia="仿宋_GB2312" w:cs="仿宋_GB2312"/>
          <w:color w:val="auto"/>
          <w:kern w:val="2"/>
          <w:sz w:val="32"/>
          <w:szCs w:val="32"/>
          <w:highlight w:val="none"/>
        </w:rPr>
        <w:t>）、林场接到森林草原火情报警后迅速核实，及时将所了解的情况报防火指挥中心，指挥中心接警后，立即通知区森防指办公室报告初步情况；区森防指办公室在接到报告后，与火灾现场指挥部建立通讯联络，及时掌握火场动态信息，同时上报区森防指，并做好火情动态记录登记，并对初期火灾的扑救给予指导；区森防指接警后，根据火情性质、威胁危害程度和范围，立即启动相应预案。</w:t>
      </w:r>
    </w:p>
    <w:p>
      <w:pPr>
        <w:pStyle w:val="12"/>
        <w:pageBreakBefore w:val="0"/>
        <w:widowControl w:val="0"/>
        <w:kinsoku/>
        <w:wordWrap/>
        <w:overflowPunct/>
        <w:topLinePunct w:val="0"/>
        <w:autoSpaceDE/>
        <w:autoSpaceDN/>
        <w:bidi w:val="0"/>
        <w:spacing w:beforeAutospacing="0" w:afterAutospacing="0" w:line="360" w:lineRule="auto"/>
        <w:ind w:firstLine="640" w:firstLineChars="200"/>
        <w:jc w:val="both"/>
        <w:textAlignment w:val="auto"/>
        <w:rPr>
          <w:rFonts w:ascii="宋体" w:hAnsi="宋体" w:eastAsia="仿宋_GB2312" w:cstheme="minorBidi"/>
          <w:color w:val="auto"/>
          <w:kern w:val="2"/>
          <w:sz w:val="32"/>
          <w:szCs w:val="32"/>
          <w:highlight w:val="none"/>
        </w:rPr>
      </w:pPr>
      <w:r>
        <w:rPr>
          <w:rFonts w:hint="eastAsia" w:ascii="宋体" w:hAnsi="宋体" w:eastAsia="仿宋_GB2312" w:cstheme="minorBidi"/>
          <w:color w:val="auto"/>
          <w:kern w:val="2"/>
          <w:sz w:val="32"/>
          <w:szCs w:val="32"/>
          <w:highlight w:val="none"/>
          <w:lang w:eastAsia="zh-CN"/>
        </w:rPr>
        <w:t>（</w:t>
      </w:r>
      <w:r>
        <w:rPr>
          <w:rFonts w:hint="eastAsia" w:ascii="宋体" w:hAnsi="宋体" w:eastAsia="仿宋_GB2312" w:cstheme="minorBidi"/>
          <w:color w:val="auto"/>
          <w:kern w:val="2"/>
          <w:sz w:val="32"/>
          <w:szCs w:val="32"/>
          <w:highlight w:val="none"/>
          <w:lang w:val="en-US" w:eastAsia="zh-CN"/>
        </w:rPr>
        <w:t>2</w:t>
      </w:r>
      <w:r>
        <w:rPr>
          <w:rFonts w:hint="eastAsia" w:ascii="宋体" w:hAnsi="宋体" w:eastAsia="仿宋_GB2312" w:cstheme="minorBidi"/>
          <w:color w:val="auto"/>
          <w:kern w:val="2"/>
          <w:sz w:val="32"/>
          <w:szCs w:val="32"/>
          <w:highlight w:val="none"/>
          <w:lang w:eastAsia="zh-CN"/>
        </w:rPr>
        <w:t>）</w:t>
      </w:r>
      <w:r>
        <w:rPr>
          <w:rFonts w:hint="eastAsia" w:ascii="宋体" w:hAnsi="宋体" w:eastAsia="仿宋_GB2312" w:cstheme="minorBidi"/>
          <w:color w:val="auto"/>
          <w:kern w:val="2"/>
          <w:sz w:val="32"/>
          <w:szCs w:val="32"/>
          <w:highlight w:val="none"/>
        </w:rPr>
        <w:t>火情续报。在森林草原火灾明火未完全扑灭前，实行24小时报告制度，每间隔</w:t>
      </w:r>
      <w:r>
        <w:rPr>
          <w:rFonts w:hint="eastAsia" w:ascii="宋体" w:hAnsi="宋体" w:eastAsia="仿宋_GB2312" w:cstheme="minorBidi"/>
          <w:color w:val="auto"/>
          <w:kern w:val="2"/>
          <w:sz w:val="32"/>
          <w:szCs w:val="32"/>
          <w:highlight w:val="none"/>
          <w:lang w:val="en-US" w:eastAsia="zh-CN"/>
        </w:rPr>
        <w:t>1</w:t>
      </w:r>
      <w:r>
        <w:rPr>
          <w:rFonts w:hint="eastAsia" w:ascii="宋体" w:hAnsi="宋体" w:eastAsia="仿宋_GB2312" w:cstheme="minorBidi"/>
          <w:color w:val="auto"/>
          <w:kern w:val="2"/>
          <w:sz w:val="32"/>
          <w:szCs w:val="32"/>
          <w:highlight w:val="none"/>
        </w:rPr>
        <w:t>小时向区森防指办公室报告火情最新动向；区森防指在每日10时前向区委、政府和</w:t>
      </w:r>
      <w:r>
        <w:rPr>
          <w:rFonts w:hint="eastAsia" w:ascii="宋体" w:hAnsi="宋体" w:eastAsia="仿宋_GB2312" w:cstheme="minorBidi"/>
          <w:color w:val="auto"/>
          <w:kern w:val="2"/>
          <w:sz w:val="32"/>
          <w:szCs w:val="32"/>
          <w:highlight w:val="none"/>
          <w:lang w:val="en-US" w:eastAsia="zh-CN"/>
        </w:rPr>
        <w:t>市</w:t>
      </w:r>
      <w:r>
        <w:rPr>
          <w:rFonts w:hint="eastAsia" w:ascii="宋体" w:hAnsi="宋体" w:eastAsia="仿宋_GB2312" w:cstheme="minorBidi"/>
          <w:color w:val="auto"/>
          <w:kern w:val="2"/>
          <w:sz w:val="32"/>
          <w:szCs w:val="32"/>
          <w:highlight w:val="none"/>
        </w:rPr>
        <w:t>森林草原防灭火指挥部报告。较大、重大、特别重大森林草原火灾随时报告。</w:t>
      </w:r>
    </w:p>
    <w:p>
      <w:pPr>
        <w:pStyle w:val="12"/>
        <w:pageBreakBefore w:val="0"/>
        <w:widowControl w:val="0"/>
        <w:kinsoku/>
        <w:wordWrap/>
        <w:overflowPunct/>
        <w:topLinePunct w:val="0"/>
        <w:autoSpaceDE/>
        <w:autoSpaceDN/>
        <w:bidi w:val="0"/>
        <w:spacing w:beforeAutospacing="0" w:afterAutospacing="0" w:line="360" w:lineRule="auto"/>
        <w:ind w:firstLine="640" w:firstLineChars="200"/>
        <w:jc w:val="both"/>
        <w:textAlignment w:val="auto"/>
        <w:rPr>
          <w:color w:val="auto"/>
          <w:highlight w:val="none"/>
        </w:rPr>
      </w:pPr>
      <w:r>
        <w:rPr>
          <w:rFonts w:hint="eastAsia" w:ascii="宋体" w:hAnsi="宋体" w:eastAsia="仿宋_GB2312" w:cstheme="minorBidi"/>
          <w:color w:val="auto"/>
          <w:kern w:val="2"/>
          <w:sz w:val="32"/>
          <w:szCs w:val="32"/>
          <w:highlight w:val="none"/>
          <w:lang w:eastAsia="zh-CN"/>
        </w:rPr>
        <w:t>（</w:t>
      </w:r>
      <w:r>
        <w:rPr>
          <w:rFonts w:hint="eastAsia" w:ascii="宋体" w:hAnsi="宋体" w:eastAsia="仿宋_GB2312" w:cstheme="minorBidi"/>
          <w:color w:val="auto"/>
          <w:kern w:val="2"/>
          <w:sz w:val="32"/>
          <w:szCs w:val="32"/>
          <w:highlight w:val="none"/>
          <w:lang w:val="en-US" w:eastAsia="zh-CN"/>
        </w:rPr>
        <w:t>3</w:t>
      </w:r>
      <w:r>
        <w:rPr>
          <w:rFonts w:hint="eastAsia" w:ascii="宋体" w:hAnsi="宋体" w:eastAsia="仿宋_GB2312" w:cstheme="minorBidi"/>
          <w:color w:val="auto"/>
          <w:kern w:val="2"/>
          <w:sz w:val="32"/>
          <w:szCs w:val="32"/>
          <w:highlight w:val="none"/>
          <w:lang w:eastAsia="zh-CN"/>
        </w:rPr>
        <w:t>）</w:t>
      </w:r>
      <w:r>
        <w:rPr>
          <w:rFonts w:hint="eastAsia" w:ascii="宋体" w:hAnsi="宋体" w:eastAsia="仿宋_GB2312" w:cstheme="minorBidi"/>
          <w:color w:val="auto"/>
          <w:kern w:val="2"/>
          <w:sz w:val="32"/>
          <w:szCs w:val="32"/>
          <w:highlight w:val="none"/>
        </w:rPr>
        <w:t>火灾核报。各</w:t>
      </w:r>
      <w:r>
        <w:rPr>
          <w:rFonts w:hint="eastAsia" w:ascii="宋体" w:hAnsi="宋体" w:eastAsia="仿宋_GB2312" w:cstheme="minorBidi"/>
          <w:color w:val="auto"/>
          <w:kern w:val="2"/>
          <w:sz w:val="32"/>
          <w:szCs w:val="32"/>
          <w:highlight w:val="none"/>
          <w:lang w:eastAsia="zh-CN"/>
        </w:rPr>
        <w:t>镇（街道）</w:t>
      </w:r>
      <w:r>
        <w:rPr>
          <w:rFonts w:hint="eastAsia" w:ascii="宋体" w:hAnsi="宋体" w:eastAsia="仿宋_GB2312" w:cstheme="minorBidi"/>
          <w:color w:val="auto"/>
          <w:kern w:val="2"/>
          <w:sz w:val="32"/>
          <w:szCs w:val="32"/>
          <w:highlight w:val="none"/>
        </w:rPr>
        <w:t>及防火相关单位或森林草原防灭火指挥机构在火灾被完全扑灭1个工作日内核定灾情，并以书面上报区森防指办公室，区森防指办公室接到报告后，2个工作日内审核、汇总灾情数据存档，并向区委、政府报告。</w:t>
      </w:r>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outlineLvl w:val="0"/>
        <w:rPr>
          <w:rFonts w:hint="eastAsia" w:ascii="黑体" w:eastAsia="黑体"/>
          <w:bCs/>
          <w:color w:val="auto"/>
          <w:kern w:val="44"/>
          <w:sz w:val="32"/>
          <w:szCs w:val="44"/>
          <w:lang w:val="en-US" w:eastAsia="zh-CN"/>
        </w:rPr>
      </w:pPr>
      <w:bookmarkStart w:id="135" w:name="_Toc8020"/>
      <w:bookmarkStart w:id="136" w:name="_Toc10439"/>
      <w:bookmarkStart w:id="137" w:name="_Toc493"/>
      <w:r>
        <w:rPr>
          <w:rFonts w:hint="eastAsia" w:ascii="黑体" w:eastAsia="黑体"/>
          <w:bCs/>
          <w:color w:val="auto"/>
          <w:kern w:val="44"/>
          <w:sz w:val="32"/>
          <w:szCs w:val="44"/>
          <w:lang w:val="en-US" w:eastAsia="zh-CN"/>
        </w:rPr>
        <w:t>6 应急响应</w:t>
      </w:r>
      <w:bookmarkEnd w:id="135"/>
      <w:bookmarkEnd w:id="136"/>
      <w:bookmarkEnd w:id="137"/>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outlineLvl w:val="1"/>
        <w:rPr>
          <w:rFonts w:hint="eastAsia" w:ascii="黑体" w:eastAsia="黑体"/>
          <w:bCs/>
          <w:color w:val="auto"/>
          <w:kern w:val="44"/>
          <w:sz w:val="32"/>
          <w:szCs w:val="44"/>
          <w:lang w:val="en-US" w:eastAsia="zh-CN"/>
        </w:rPr>
      </w:pPr>
      <w:bookmarkStart w:id="138" w:name="_Toc17301"/>
      <w:bookmarkStart w:id="139" w:name="_Toc2597"/>
      <w:bookmarkStart w:id="140" w:name="_Toc12061"/>
      <w:r>
        <w:rPr>
          <w:rFonts w:hint="eastAsia" w:ascii="黑体" w:eastAsia="黑体"/>
          <w:bCs/>
          <w:color w:val="auto"/>
          <w:kern w:val="44"/>
          <w:sz w:val="32"/>
          <w:szCs w:val="44"/>
          <w:lang w:val="en-US" w:eastAsia="zh-CN"/>
        </w:rPr>
        <w:t>6.1 分级响应</w:t>
      </w:r>
      <w:bookmarkEnd w:id="138"/>
      <w:bookmarkEnd w:id="139"/>
      <w:bookmarkEnd w:id="140"/>
    </w:p>
    <w:p>
      <w:pPr>
        <w:pStyle w:val="12"/>
        <w:pageBreakBefore w:val="0"/>
        <w:widowControl w:val="0"/>
        <w:kinsoku/>
        <w:wordWrap/>
        <w:overflowPunct/>
        <w:topLinePunct w:val="0"/>
        <w:autoSpaceDE/>
        <w:autoSpaceDN/>
        <w:bidi w:val="0"/>
        <w:spacing w:beforeAutospacing="0" w:afterAutospacing="0" w:line="360" w:lineRule="auto"/>
        <w:ind w:firstLine="640" w:firstLineChars="200"/>
        <w:jc w:val="both"/>
        <w:textAlignment w:val="auto"/>
        <w:rPr>
          <w:rFonts w:ascii="宋体" w:hAnsi="宋体" w:eastAsia="仿宋_GB2312" w:cstheme="minorBidi"/>
          <w:color w:val="auto"/>
          <w:kern w:val="2"/>
          <w:sz w:val="32"/>
          <w:szCs w:val="32"/>
          <w:highlight w:val="none"/>
        </w:rPr>
      </w:pPr>
      <w:r>
        <w:rPr>
          <w:rFonts w:hint="eastAsia" w:ascii="宋体" w:hAnsi="宋体" w:eastAsia="仿宋_GB2312" w:cstheme="minorBidi"/>
          <w:color w:val="auto"/>
          <w:kern w:val="2"/>
          <w:sz w:val="32"/>
          <w:szCs w:val="32"/>
          <w:highlight w:val="none"/>
        </w:rPr>
        <w:t>森林草原火灾扑救工作以火灾发生地单位为主。火灾发生后，各地和相关部门要按照“分级管理、各司其职、密切配合”的原则，第一时间采取应急处置措施，全力做好森林草原火灾的扑救工作，最大限度地减少广大人民群众生命财产损失</w:t>
      </w:r>
      <w:r>
        <w:rPr>
          <w:rFonts w:hint="eastAsia" w:ascii="宋体" w:hAnsi="宋体" w:eastAsia="仿宋_GB2312" w:cstheme="minorBidi"/>
          <w:color w:val="auto"/>
          <w:kern w:val="2"/>
          <w:sz w:val="32"/>
          <w:szCs w:val="32"/>
          <w:highlight w:val="none"/>
          <w:lang w:eastAsia="zh-CN"/>
        </w:rPr>
        <w:t>。</w:t>
      </w:r>
      <w:r>
        <w:rPr>
          <w:rFonts w:hint="eastAsia" w:ascii="宋体" w:hAnsi="宋体" w:eastAsia="仿宋_GB2312" w:cstheme="minorBidi"/>
          <w:color w:val="auto"/>
          <w:kern w:val="2"/>
          <w:sz w:val="32"/>
          <w:szCs w:val="32"/>
          <w:highlight w:val="none"/>
        </w:rPr>
        <w:t>森林草原火灾</w:t>
      </w:r>
      <w:r>
        <w:rPr>
          <w:rFonts w:hint="eastAsia" w:ascii="宋体" w:hAnsi="宋体" w:eastAsia="仿宋_GB2312" w:cstheme="minorBidi"/>
          <w:color w:val="auto"/>
          <w:kern w:val="2"/>
          <w:sz w:val="32"/>
          <w:szCs w:val="32"/>
          <w:highlight w:val="none"/>
          <w:lang w:val="en-US" w:eastAsia="zh-CN"/>
        </w:rPr>
        <w:t>发生后</w:t>
      </w:r>
      <w:r>
        <w:rPr>
          <w:rFonts w:hint="eastAsia" w:ascii="宋体" w:hAnsi="宋体" w:eastAsia="仿宋_GB2312" w:cstheme="minorBidi"/>
          <w:color w:val="auto"/>
          <w:kern w:val="2"/>
          <w:sz w:val="32"/>
          <w:szCs w:val="32"/>
          <w:highlight w:val="none"/>
        </w:rPr>
        <w:t>由</w:t>
      </w:r>
      <w:r>
        <w:rPr>
          <w:rFonts w:hint="eastAsia" w:ascii="宋体" w:hAnsi="宋体" w:eastAsia="仿宋_GB2312" w:cstheme="minorBidi"/>
          <w:color w:val="auto"/>
          <w:kern w:val="2"/>
          <w:sz w:val="32"/>
          <w:szCs w:val="32"/>
          <w:highlight w:val="none"/>
          <w:lang w:val="en-US" w:eastAsia="zh-CN"/>
        </w:rPr>
        <w:t>事发区域主管单位先期处置，并报区森防指，</w:t>
      </w:r>
      <w:r>
        <w:rPr>
          <w:rFonts w:hint="eastAsia" w:ascii="宋体" w:hAnsi="宋体" w:eastAsia="仿宋_GB2312" w:cstheme="minorBidi"/>
          <w:color w:val="auto"/>
          <w:kern w:val="2"/>
          <w:sz w:val="32"/>
          <w:szCs w:val="32"/>
          <w:highlight w:val="none"/>
        </w:rPr>
        <w:t>由区森防指负责指挥扑救；预判发生较大森林草原火灾</w:t>
      </w:r>
      <w:r>
        <w:rPr>
          <w:rFonts w:hint="default" w:ascii="宋体" w:hAnsi="宋体" w:eastAsia="仿宋_GB2312" w:cstheme="minorBidi"/>
          <w:color w:val="auto"/>
          <w:kern w:val="2"/>
          <w:sz w:val="32"/>
          <w:szCs w:val="32"/>
          <w:highlight w:val="none"/>
        </w:rPr>
        <w:t>,</w:t>
      </w:r>
      <w:r>
        <w:rPr>
          <w:rFonts w:hint="eastAsia" w:ascii="宋体" w:hAnsi="宋体" w:eastAsia="仿宋_GB2312" w:cstheme="minorBidi"/>
          <w:color w:val="auto"/>
          <w:kern w:val="2"/>
          <w:sz w:val="32"/>
          <w:szCs w:val="32"/>
          <w:highlight w:val="none"/>
        </w:rPr>
        <w:t>报请市森防指组织处置；预判重大、特别重大森林草原火灾报请</w:t>
      </w:r>
      <w:r>
        <w:rPr>
          <w:rFonts w:hint="eastAsia" w:ascii="宋体" w:hAnsi="宋体" w:eastAsia="仿宋_GB2312" w:cstheme="minorBidi"/>
          <w:color w:val="auto"/>
          <w:kern w:val="2"/>
          <w:sz w:val="32"/>
          <w:szCs w:val="32"/>
          <w:highlight w:val="none"/>
          <w:lang w:val="en-US" w:eastAsia="zh-CN"/>
        </w:rPr>
        <w:t>自治区</w:t>
      </w:r>
      <w:r>
        <w:rPr>
          <w:rFonts w:hint="eastAsia" w:ascii="宋体" w:hAnsi="宋体" w:eastAsia="仿宋_GB2312" w:cstheme="minorBidi"/>
          <w:color w:val="auto"/>
          <w:kern w:val="2"/>
          <w:sz w:val="32"/>
          <w:szCs w:val="32"/>
          <w:highlight w:val="none"/>
        </w:rPr>
        <w:t>森防指组织处置；必要时</w:t>
      </w:r>
      <w:r>
        <w:rPr>
          <w:rFonts w:hint="default" w:ascii="宋体" w:hAnsi="宋体" w:eastAsia="仿宋_GB2312" w:cstheme="minorBidi"/>
          <w:color w:val="auto"/>
          <w:kern w:val="2"/>
          <w:sz w:val="32"/>
          <w:szCs w:val="32"/>
          <w:highlight w:val="none"/>
        </w:rPr>
        <w:t>,</w:t>
      </w:r>
      <w:r>
        <w:rPr>
          <w:rFonts w:hint="eastAsia" w:ascii="宋体" w:hAnsi="宋体" w:eastAsia="仿宋_GB2312" w:cstheme="minorBidi"/>
          <w:color w:val="auto"/>
          <w:kern w:val="2"/>
          <w:sz w:val="32"/>
          <w:szCs w:val="32"/>
          <w:highlight w:val="none"/>
        </w:rPr>
        <w:t>及时提高响应级别。</w:t>
      </w:r>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outlineLvl w:val="1"/>
        <w:rPr>
          <w:rFonts w:hint="eastAsia" w:ascii="黑体" w:eastAsia="黑体"/>
          <w:bCs/>
          <w:color w:val="auto"/>
          <w:kern w:val="44"/>
          <w:sz w:val="32"/>
          <w:szCs w:val="44"/>
          <w:lang w:val="en-US" w:eastAsia="zh-CN"/>
        </w:rPr>
      </w:pPr>
      <w:bookmarkStart w:id="141" w:name="_Toc31508"/>
      <w:bookmarkStart w:id="142" w:name="_Toc28474"/>
      <w:bookmarkStart w:id="143" w:name="_Toc6818"/>
      <w:r>
        <w:rPr>
          <w:rFonts w:hint="eastAsia" w:ascii="黑体" w:eastAsia="黑体"/>
          <w:bCs/>
          <w:color w:val="auto"/>
          <w:kern w:val="44"/>
          <w:sz w:val="32"/>
          <w:szCs w:val="44"/>
          <w:lang w:val="en-US" w:eastAsia="zh-CN"/>
        </w:rPr>
        <w:t>6.2 响应措施</w:t>
      </w:r>
      <w:bookmarkEnd w:id="141"/>
      <w:bookmarkEnd w:id="142"/>
      <w:bookmarkEnd w:id="143"/>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bCs/>
          <w:color w:val="auto"/>
          <w:kern w:val="44"/>
          <w:sz w:val="32"/>
          <w:szCs w:val="44"/>
        </w:rPr>
      </w:pPr>
      <w:r>
        <w:rPr>
          <w:rFonts w:hint="eastAsia" w:ascii="仿宋_GB2312" w:hAnsi="仿宋_GB2312" w:eastAsia="仿宋_GB2312" w:cs="仿宋_GB2312"/>
          <w:bCs/>
          <w:color w:val="auto"/>
          <w:kern w:val="44"/>
          <w:sz w:val="32"/>
          <w:szCs w:val="44"/>
          <w:lang w:val="en-US" w:eastAsia="zh-CN"/>
        </w:rPr>
        <w:t>6</w:t>
      </w:r>
      <w:r>
        <w:rPr>
          <w:rFonts w:hint="eastAsia" w:ascii="仿宋_GB2312" w:hAnsi="仿宋_GB2312" w:eastAsia="仿宋_GB2312" w:cs="仿宋_GB2312"/>
          <w:bCs/>
          <w:color w:val="auto"/>
          <w:kern w:val="44"/>
          <w:sz w:val="32"/>
          <w:szCs w:val="44"/>
        </w:rPr>
        <w:t>.2.1 扑救火灾</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1"/>
        <w:jc w:val="both"/>
        <w:textAlignment w:val="auto"/>
        <w:rPr>
          <w:rFonts w:hint="default" w:ascii="Times New Roman" w:hAnsi="Times New Roman" w:cs="Times New Roman"/>
          <w:i w:val="0"/>
          <w:iCs w:val="0"/>
          <w:caps w:val="0"/>
          <w:color w:val="auto"/>
          <w:spacing w:val="0"/>
          <w:sz w:val="32"/>
          <w:szCs w:val="32"/>
        </w:rPr>
      </w:pPr>
      <w:r>
        <w:rPr>
          <w:rFonts w:ascii="仿宋_GB2312" w:hAnsi="Times New Roman" w:eastAsia="仿宋_GB2312" w:cs="仿宋_GB2312"/>
          <w:i w:val="0"/>
          <w:iCs w:val="0"/>
          <w:caps w:val="0"/>
          <w:color w:val="auto"/>
          <w:spacing w:val="0"/>
          <w:sz w:val="32"/>
          <w:szCs w:val="32"/>
          <w:shd w:val="clear" w:fill="FFFFFF"/>
        </w:rPr>
        <w:t>立即就地就近组织专业、半专业防扑火队伍、消防救援队伍</w:t>
      </w:r>
      <w:r>
        <w:rPr>
          <w:rFonts w:hint="eastAsia" w:ascii="仿宋_GB2312" w:hAnsi="Times New Roman" w:eastAsia="仿宋_GB2312" w:cs="仿宋_GB2312"/>
          <w:i w:val="0"/>
          <w:iCs w:val="0"/>
          <w:caps w:val="0"/>
          <w:color w:val="auto"/>
          <w:spacing w:val="0"/>
          <w:sz w:val="32"/>
          <w:szCs w:val="32"/>
          <w:shd w:val="clear" w:fill="FFFFFF"/>
          <w:lang w:eastAsia="zh-CN"/>
        </w:rPr>
        <w:t>、内蒙古森林消防总队特勤大队</w:t>
      </w:r>
      <w:r>
        <w:rPr>
          <w:rFonts w:ascii="仿宋_GB2312" w:hAnsi="Times New Roman" w:eastAsia="仿宋_GB2312" w:cs="仿宋_GB2312"/>
          <w:i w:val="0"/>
          <w:iCs w:val="0"/>
          <w:caps w:val="0"/>
          <w:color w:val="auto"/>
          <w:spacing w:val="0"/>
          <w:sz w:val="32"/>
          <w:szCs w:val="32"/>
          <w:shd w:val="clear" w:fill="FFFFFF"/>
        </w:rPr>
        <w:t>等力量参与扑救，力争将火灾扑灭在初起阶段。必要时，组织协调当地解放军和武警部队等救援力量参与扑救。</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atLeast"/>
        <w:ind w:left="0" w:right="0" w:firstLine="640"/>
        <w:jc w:val="both"/>
        <w:textAlignment w:val="auto"/>
        <w:rPr>
          <w:rFonts w:hint="default" w:ascii="Times New Roman" w:hAnsi="Times New Roman" w:cs="Times New Roman"/>
          <w:i w:val="0"/>
          <w:iCs w:val="0"/>
          <w:caps w:val="0"/>
          <w:color w:val="auto"/>
          <w:spacing w:val="0"/>
          <w:sz w:val="32"/>
          <w:szCs w:val="32"/>
        </w:rPr>
      </w:pPr>
      <w:r>
        <w:rPr>
          <w:rFonts w:hint="eastAsia" w:ascii="仿宋_GB2312" w:hAnsi="Times New Roman" w:eastAsia="仿宋_GB2312" w:cs="仿宋_GB2312"/>
          <w:i w:val="0"/>
          <w:iCs w:val="0"/>
          <w:caps w:val="0"/>
          <w:color w:val="auto"/>
          <w:spacing w:val="0"/>
          <w:sz w:val="32"/>
          <w:szCs w:val="32"/>
          <w:shd w:val="clear" w:fill="FFFFFF"/>
        </w:rPr>
        <w:t>各扑火力量在火场前线指挥部的统一调度指挥下，明确任务分工，落实扑救责任，科学组织扑救，在确保扑火人员安全情况下，迅速有序开展扑救工作，严防各类次生灾害发生。现场指挥员要认真分析地理环境、气象条件和火场态势，在扑火队伍行进、宿营地选择和扑火作业时，加强火场管理，时刻注意观察天气和火势变化，提前预设紧急避险措施，确保各类扑火人员安全。不得动员残疾人、孕妇和未成年人以及其他不适宜参加森林草原火灾扑救的人员参加扑救工作。</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bCs/>
          <w:color w:val="auto"/>
          <w:kern w:val="44"/>
          <w:sz w:val="32"/>
          <w:szCs w:val="44"/>
          <w:lang w:val="en-US" w:eastAsia="zh-CN"/>
        </w:rPr>
      </w:pPr>
      <w:r>
        <w:rPr>
          <w:rFonts w:hint="eastAsia" w:ascii="仿宋_GB2312" w:hAnsi="仿宋_GB2312" w:eastAsia="仿宋_GB2312" w:cs="仿宋_GB2312"/>
          <w:bCs/>
          <w:color w:val="auto"/>
          <w:kern w:val="44"/>
          <w:sz w:val="32"/>
          <w:szCs w:val="44"/>
          <w:lang w:val="en-US" w:eastAsia="zh-CN"/>
        </w:rPr>
        <w:t>6.2.2 转移安置人员</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ascii="宋体" w:hAnsi="宋体" w:eastAsia="仿宋_GB2312" w:cstheme="minorBidi"/>
          <w:color w:val="auto"/>
          <w:kern w:val="2"/>
          <w:sz w:val="32"/>
          <w:szCs w:val="32"/>
        </w:rPr>
      </w:pPr>
      <w:r>
        <w:rPr>
          <w:rFonts w:hint="eastAsia" w:ascii="宋体" w:hAnsi="宋体" w:eastAsia="仿宋_GB2312" w:cstheme="minorBidi"/>
          <w:color w:val="auto"/>
          <w:kern w:val="2"/>
          <w:sz w:val="32"/>
          <w:szCs w:val="32"/>
        </w:rPr>
        <w:t>当居民点、人员密集区受到森林草原火灾威胁时，及时采取有效阻火措施，制定紧急疏散方案，有组织、有秩序地及时疏散居民、受威胁人员，确保人民群众生命安全，妥善做好转移群众安置工作。</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bCs/>
          <w:color w:val="auto"/>
          <w:kern w:val="44"/>
          <w:sz w:val="32"/>
          <w:szCs w:val="44"/>
          <w:lang w:val="en-US" w:eastAsia="zh-CN"/>
        </w:rPr>
      </w:pPr>
      <w:r>
        <w:rPr>
          <w:rFonts w:hint="eastAsia" w:ascii="仿宋_GB2312" w:hAnsi="仿宋_GB2312" w:eastAsia="仿宋_GB2312" w:cs="仿宋_GB2312"/>
          <w:bCs/>
          <w:color w:val="auto"/>
          <w:kern w:val="44"/>
          <w:sz w:val="32"/>
          <w:szCs w:val="44"/>
          <w:lang w:val="en-US" w:eastAsia="zh-CN"/>
        </w:rPr>
        <w:t>6.2.3 救治伤员</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宋体" w:hAnsi="宋体" w:eastAsia="仿宋_GB2312" w:cstheme="minorBidi"/>
          <w:color w:val="auto"/>
          <w:kern w:val="2"/>
          <w:sz w:val="32"/>
          <w:szCs w:val="32"/>
        </w:rPr>
      </w:pPr>
      <w:r>
        <w:rPr>
          <w:rFonts w:hint="eastAsia" w:ascii="宋体" w:hAnsi="宋体" w:eastAsia="仿宋_GB2312" w:cstheme="minorBidi"/>
          <w:color w:val="auto"/>
          <w:kern w:val="2"/>
          <w:sz w:val="32"/>
          <w:szCs w:val="32"/>
        </w:rPr>
        <w:t>迅速将受伤人员送医院治疗，必要时对重伤员实施异地救治。视情派出卫生应急队伍赶赴火灾发生地，成立临时医院或医疗点，实施现场救治。</w:t>
      </w:r>
    </w:p>
    <w:p>
      <w:pPr>
        <w:pStyle w:val="12"/>
        <w:pageBreakBefore w:val="0"/>
        <w:widowControl w:val="0"/>
        <w:kinsoku/>
        <w:wordWrap/>
        <w:overflowPunct/>
        <w:topLinePunct w:val="0"/>
        <w:autoSpaceDE/>
        <w:autoSpaceDN/>
        <w:bidi w:val="0"/>
        <w:spacing w:beforeAutospacing="0" w:afterAutospacing="0" w:line="360" w:lineRule="auto"/>
        <w:ind w:firstLine="640" w:firstLineChars="200"/>
        <w:textAlignment w:val="auto"/>
        <w:rPr>
          <w:rFonts w:hint="eastAsia" w:ascii="仿宋_GB2312" w:hAnsi="仿宋_GB2312" w:eastAsia="仿宋_GB2312" w:cs="仿宋_GB2312"/>
          <w:bCs/>
          <w:color w:val="auto"/>
          <w:kern w:val="44"/>
          <w:sz w:val="32"/>
          <w:szCs w:val="44"/>
          <w:lang w:val="en-US" w:eastAsia="zh-CN" w:bidi="ar-SA"/>
        </w:rPr>
      </w:pPr>
      <w:r>
        <w:rPr>
          <w:rFonts w:hint="eastAsia" w:ascii="仿宋_GB2312" w:hAnsi="仿宋_GB2312" w:eastAsia="仿宋_GB2312" w:cs="仿宋_GB2312"/>
          <w:bCs/>
          <w:color w:val="auto"/>
          <w:kern w:val="44"/>
          <w:sz w:val="32"/>
          <w:szCs w:val="44"/>
          <w:lang w:val="en-US" w:eastAsia="zh-CN" w:bidi="ar-SA"/>
        </w:rPr>
        <w:t>6.2.4 善后处置</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ascii="宋体" w:hAnsi="宋体" w:eastAsia="仿宋_GB2312" w:cstheme="minorBidi"/>
          <w:color w:val="auto"/>
          <w:kern w:val="2"/>
          <w:sz w:val="32"/>
          <w:szCs w:val="32"/>
        </w:rPr>
      </w:pPr>
      <w:r>
        <w:rPr>
          <w:rFonts w:hint="eastAsia" w:ascii="宋体" w:hAnsi="宋体" w:eastAsia="仿宋_GB2312" w:cstheme="minorBidi"/>
          <w:color w:val="auto"/>
          <w:kern w:val="2"/>
          <w:sz w:val="32"/>
          <w:szCs w:val="32"/>
        </w:rPr>
        <w:t>做好遇难人员的善后工作，抚慰遇难者家属。对因扑救森林草原火灾负伤、致残或者死亡的人员，按照国家有关规定给予医疗、抚恤。</w:t>
      </w:r>
    </w:p>
    <w:p>
      <w:pPr>
        <w:pStyle w:val="12"/>
        <w:pageBreakBefore w:val="0"/>
        <w:widowControl w:val="0"/>
        <w:kinsoku/>
        <w:wordWrap/>
        <w:overflowPunct/>
        <w:topLinePunct w:val="0"/>
        <w:autoSpaceDE/>
        <w:autoSpaceDN/>
        <w:bidi w:val="0"/>
        <w:spacing w:beforeAutospacing="0" w:afterAutospacing="0" w:line="360" w:lineRule="auto"/>
        <w:ind w:firstLine="640" w:firstLineChars="200"/>
        <w:textAlignment w:val="auto"/>
        <w:rPr>
          <w:rFonts w:hint="eastAsia" w:ascii="仿宋_GB2312" w:hAnsi="仿宋_GB2312" w:eastAsia="仿宋_GB2312" w:cs="仿宋_GB2312"/>
          <w:bCs/>
          <w:color w:val="auto"/>
          <w:kern w:val="44"/>
          <w:sz w:val="32"/>
          <w:szCs w:val="44"/>
          <w:lang w:val="en-US" w:eastAsia="zh-CN" w:bidi="ar-SA"/>
        </w:rPr>
      </w:pPr>
      <w:r>
        <w:rPr>
          <w:rFonts w:hint="eastAsia" w:ascii="仿宋_GB2312" w:hAnsi="仿宋_GB2312" w:eastAsia="仿宋_GB2312" w:cs="仿宋_GB2312"/>
          <w:bCs/>
          <w:color w:val="auto"/>
          <w:kern w:val="44"/>
          <w:sz w:val="32"/>
          <w:szCs w:val="44"/>
          <w:lang w:val="en-US" w:eastAsia="zh-CN" w:bidi="ar-SA"/>
        </w:rPr>
        <w:t>6.2.5 保护重要目标</w:t>
      </w:r>
    </w:p>
    <w:p>
      <w:pPr>
        <w:pStyle w:val="12"/>
        <w:pageBreakBefore w:val="0"/>
        <w:widowControl w:val="0"/>
        <w:kinsoku/>
        <w:wordWrap/>
        <w:overflowPunct/>
        <w:topLinePunct w:val="0"/>
        <w:autoSpaceDE/>
        <w:autoSpaceDN/>
        <w:bidi w:val="0"/>
        <w:spacing w:beforeAutospacing="0" w:afterAutospacing="0" w:line="360" w:lineRule="auto"/>
        <w:ind w:firstLine="640" w:firstLineChars="200"/>
        <w:textAlignment w:val="auto"/>
        <w:rPr>
          <w:rFonts w:ascii="宋体" w:hAnsi="宋体" w:eastAsia="仿宋_GB2312" w:cstheme="minorBidi"/>
          <w:color w:val="auto"/>
          <w:kern w:val="2"/>
          <w:sz w:val="32"/>
          <w:szCs w:val="32"/>
        </w:rPr>
      </w:pPr>
      <w:r>
        <w:rPr>
          <w:rFonts w:hint="eastAsia" w:ascii="宋体" w:hAnsi="宋体" w:eastAsia="仿宋_GB2312" w:cstheme="minorBidi"/>
          <w:color w:val="auto"/>
          <w:kern w:val="2"/>
          <w:sz w:val="32"/>
          <w:szCs w:val="32"/>
        </w:rPr>
        <w:t>当军事设施、危险化学品生产储存设备等重要目标物和重大危险源受到森林草原火灾威胁时，迅速调集专业队伍，全力消除威胁</w:t>
      </w:r>
      <w:r>
        <w:rPr>
          <w:rFonts w:hint="eastAsia" w:ascii="宋体" w:hAnsi="宋体" w:eastAsia="仿宋_GB2312" w:cstheme="minorBidi"/>
          <w:color w:val="auto"/>
          <w:kern w:val="2"/>
          <w:sz w:val="32"/>
          <w:szCs w:val="32"/>
          <w:lang w:eastAsia="zh-CN"/>
        </w:rPr>
        <w:t>，</w:t>
      </w:r>
      <w:r>
        <w:rPr>
          <w:rFonts w:hint="eastAsia" w:ascii="宋体" w:hAnsi="宋体" w:eastAsia="仿宋_GB2312" w:cstheme="minorBidi"/>
          <w:color w:val="auto"/>
          <w:kern w:val="2"/>
          <w:sz w:val="32"/>
          <w:szCs w:val="32"/>
        </w:rPr>
        <w:t>组织抢救、运送、转移重要物资</w:t>
      </w:r>
      <w:r>
        <w:rPr>
          <w:rFonts w:hint="default" w:ascii="宋体" w:hAnsi="宋体" w:eastAsia="仿宋_GB2312" w:cstheme="minorBidi"/>
          <w:color w:val="auto"/>
          <w:kern w:val="2"/>
          <w:sz w:val="32"/>
          <w:szCs w:val="32"/>
        </w:rPr>
        <w:t>,</w:t>
      </w:r>
      <w:r>
        <w:rPr>
          <w:rFonts w:hint="eastAsia" w:ascii="宋体" w:hAnsi="宋体" w:eastAsia="仿宋_GB2312" w:cstheme="minorBidi"/>
          <w:color w:val="auto"/>
          <w:kern w:val="2"/>
          <w:sz w:val="32"/>
          <w:szCs w:val="32"/>
        </w:rPr>
        <w:t>确保目标安全。</w:t>
      </w:r>
    </w:p>
    <w:p>
      <w:pPr>
        <w:pStyle w:val="12"/>
        <w:pageBreakBefore w:val="0"/>
        <w:widowControl w:val="0"/>
        <w:kinsoku/>
        <w:wordWrap/>
        <w:overflowPunct/>
        <w:topLinePunct w:val="0"/>
        <w:autoSpaceDE/>
        <w:autoSpaceDN/>
        <w:bidi w:val="0"/>
        <w:spacing w:beforeAutospacing="0" w:afterAutospacing="0" w:line="360" w:lineRule="auto"/>
        <w:ind w:firstLine="640" w:firstLineChars="200"/>
        <w:textAlignment w:val="auto"/>
        <w:rPr>
          <w:rFonts w:hint="eastAsia" w:ascii="仿宋_GB2312" w:hAnsi="仿宋_GB2312" w:eastAsia="仿宋_GB2312" w:cs="仿宋_GB2312"/>
          <w:bCs/>
          <w:color w:val="auto"/>
          <w:kern w:val="44"/>
          <w:sz w:val="32"/>
          <w:szCs w:val="44"/>
          <w:lang w:val="en-US" w:eastAsia="zh-CN" w:bidi="ar-SA"/>
        </w:rPr>
      </w:pPr>
      <w:r>
        <w:rPr>
          <w:rFonts w:hint="eastAsia" w:ascii="仿宋_GB2312" w:hAnsi="仿宋_GB2312" w:eastAsia="仿宋_GB2312" w:cs="仿宋_GB2312"/>
          <w:bCs/>
          <w:color w:val="auto"/>
          <w:kern w:val="44"/>
          <w:sz w:val="32"/>
          <w:szCs w:val="44"/>
          <w:lang w:val="en-US" w:eastAsia="zh-CN" w:bidi="ar-SA"/>
        </w:rPr>
        <w:t>6.2.6 维护社会治安</w:t>
      </w:r>
    </w:p>
    <w:p>
      <w:pPr>
        <w:pStyle w:val="12"/>
        <w:pageBreakBefore w:val="0"/>
        <w:widowControl w:val="0"/>
        <w:kinsoku/>
        <w:wordWrap/>
        <w:overflowPunct/>
        <w:topLinePunct w:val="0"/>
        <w:autoSpaceDE/>
        <w:autoSpaceDN/>
        <w:bidi w:val="0"/>
        <w:spacing w:beforeAutospacing="0" w:afterAutospacing="0" w:line="360" w:lineRule="auto"/>
        <w:ind w:firstLine="640" w:firstLineChars="200"/>
        <w:textAlignment w:val="auto"/>
        <w:rPr>
          <w:rFonts w:ascii="微软雅黑" w:hAnsi="微软雅黑" w:eastAsia="微软雅黑" w:cs="微软雅黑"/>
          <w:color w:val="auto"/>
          <w:sz w:val="16"/>
          <w:szCs w:val="16"/>
        </w:rPr>
      </w:pPr>
      <w:r>
        <w:rPr>
          <w:rFonts w:hint="eastAsia" w:ascii="宋体" w:hAnsi="宋体" w:eastAsia="仿宋_GB2312" w:cstheme="minorBidi"/>
          <w:color w:val="auto"/>
          <w:kern w:val="2"/>
          <w:sz w:val="32"/>
          <w:szCs w:val="32"/>
        </w:rPr>
        <w:t>加强森林草原火灾受影响区域的社会治安管理，严厉打击借机盗窃、抢劫、哄抢救灾物资、传播谣言等违法犯罪行为。必要时，有关部门在金融单位、储备仓库等重要场所加强治安巡逻，维护社会稳定</w:t>
      </w:r>
      <w:r>
        <w:rPr>
          <w:rFonts w:hint="eastAsia" w:ascii="宋体" w:hAnsi="宋体" w:eastAsia="仿宋_GB2312" w:cstheme="minorBidi"/>
          <w:color w:val="auto"/>
          <w:kern w:val="2"/>
          <w:sz w:val="32"/>
          <w:szCs w:val="32"/>
          <w:lang w:eastAsia="zh-CN"/>
        </w:rPr>
        <w:t>。</w:t>
      </w:r>
    </w:p>
    <w:p>
      <w:pPr>
        <w:pStyle w:val="12"/>
        <w:pageBreakBefore w:val="0"/>
        <w:widowControl w:val="0"/>
        <w:kinsoku/>
        <w:wordWrap/>
        <w:overflowPunct/>
        <w:topLinePunct w:val="0"/>
        <w:autoSpaceDE/>
        <w:autoSpaceDN/>
        <w:bidi w:val="0"/>
        <w:spacing w:beforeAutospacing="0" w:afterAutospacing="0" w:line="360" w:lineRule="auto"/>
        <w:ind w:firstLine="640" w:firstLineChars="200"/>
        <w:textAlignment w:val="auto"/>
        <w:rPr>
          <w:rFonts w:hint="eastAsia" w:ascii="仿宋_GB2312" w:hAnsi="仿宋_GB2312" w:eastAsia="仿宋_GB2312" w:cs="仿宋_GB2312"/>
          <w:bCs/>
          <w:color w:val="auto"/>
          <w:kern w:val="44"/>
          <w:sz w:val="32"/>
          <w:szCs w:val="44"/>
          <w:lang w:val="en-US" w:eastAsia="zh-CN" w:bidi="ar-SA"/>
        </w:rPr>
      </w:pPr>
      <w:r>
        <w:rPr>
          <w:rFonts w:hint="eastAsia" w:ascii="仿宋_GB2312" w:hAnsi="仿宋_GB2312" w:eastAsia="仿宋_GB2312" w:cs="仿宋_GB2312"/>
          <w:bCs/>
          <w:color w:val="auto"/>
          <w:kern w:val="44"/>
          <w:sz w:val="32"/>
          <w:szCs w:val="44"/>
          <w:lang w:val="en-US" w:eastAsia="zh-CN" w:bidi="ar-SA"/>
        </w:rPr>
        <w:t>6.2.7 火案查处</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ascii="宋体" w:hAnsi="宋体" w:eastAsia="仿宋_GB2312" w:cstheme="minorBidi"/>
          <w:color w:val="auto"/>
          <w:kern w:val="2"/>
          <w:sz w:val="32"/>
          <w:szCs w:val="32"/>
        </w:rPr>
      </w:pPr>
      <w:r>
        <w:rPr>
          <w:rFonts w:hint="eastAsia" w:ascii="宋体" w:hAnsi="宋体" w:eastAsia="仿宋_GB2312" w:cstheme="minorBidi"/>
          <w:color w:val="auto"/>
          <w:kern w:val="2"/>
          <w:sz w:val="32"/>
          <w:szCs w:val="32"/>
        </w:rPr>
        <w:t>一旦有森林草原火灾发生，</w:t>
      </w:r>
      <w:r>
        <w:rPr>
          <w:rFonts w:hint="eastAsia" w:ascii="宋体" w:hAnsi="宋体" w:eastAsia="仿宋_GB2312" w:cstheme="minorBidi"/>
          <w:color w:val="auto"/>
          <w:kern w:val="2"/>
          <w:sz w:val="32"/>
          <w:szCs w:val="32"/>
          <w:lang w:val="en-US" w:eastAsia="zh-CN"/>
        </w:rPr>
        <w:t>公安分局</w:t>
      </w:r>
      <w:r>
        <w:rPr>
          <w:rFonts w:hint="eastAsia" w:ascii="宋体" w:hAnsi="宋体" w:eastAsia="仿宋_GB2312" w:cstheme="minorBidi"/>
          <w:color w:val="auto"/>
          <w:kern w:val="2"/>
          <w:sz w:val="32"/>
          <w:szCs w:val="32"/>
        </w:rPr>
        <w:t>应第一时间赶赴现场，维护火场秩序、调查取证、控制肇事者、扑救火灾。区森防指及时组织相关力量进行依法查处。</w:t>
      </w:r>
    </w:p>
    <w:p>
      <w:pPr>
        <w:pStyle w:val="12"/>
        <w:pageBreakBefore w:val="0"/>
        <w:widowControl w:val="0"/>
        <w:kinsoku/>
        <w:wordWrap/>
        <w:overflowPunct/>
        <w:topLinePunct w:val="0"/>
        <w:autoSpaceDE/>
        <w:autoSpaceDN/>
        <w:bidi w:val="0"/>
        <w:spacing w:beforeAutospacing="0" w:afterAutospacing="0" w:line="360" w:lineRule="auto"/>
        <w:ind w:firstLine="640" w:firstLineChars="200"/>
        <w:textAlignment w:val="auto"/>
        <w:rPr>
          <w:rFonts w:hint="eastAsia" w:ascii="仿宋_GB2312" w:hAnsi="仿宋_GB2312" w:eastAsia="仿宋_GB2312" w:cs="仿宋_GB2312"/>
          <w:bCs/>
          <w:color w:val="auto"/>
          <w:kern w:val="44"/>
          <w:sz w:val="32"/>
          <w:szCs w:val="44"/>
          <w:lang w:val="en-US" w:eastAsia="zh-CN" w:bidi="ar-SA"/>
        </w:rPr>
      </w:pPr>
      <w:r>
        <w:rPr>
          <w:rFonts w:hint="eastAsia" w:ascii="仿宋_GB2312" w:hAnsi="仿宋_GB2312" w:eastAsia="仿宋_GB2312" w:cs="仿宋_GB2312"/>
          <w:bCs/>
          <w:color w:val="auto"/>
          <w:kern w:val="44"/>
          <w:sz w:val="32"/>
          <w:szCs w:val="44"/>
          <w:lang w:val="en-US" w:eastAsia="zh-CN" w:bidi="ar-SA"/>
        </w:rPr>
        <w:t>6.2.8 发布信息</w:t>
      </w:r>
    </w:p>
    <w:p>
      <w:pPr>
        <w:pStyle w:val="12"/>
        <w:pageBreakBefore w:val="0"/>
        <w:widowControl w:val="0"/>
        <w:kinsoku/>
        <w:wordWrap/>
        <w:overflowPunct/>
        <w:topLinePunct w:val="0"/>
        <w:autoSpaceDE/>
        <w:autoSpaceDN/>
        <w:bidi w:val="0"/>
        <w:spacing w:beforeAutospacing="0" w:afterAutospacing="0" w:line="360" w:lineRule="auto"/>
        <w:ind w:firstLine="640" w:firstLineChars="200"/>
        <w:textAlignment w:val="auto"/>
        <w:rPr>
          <w:rFonts w:ascii="宋体" w:hAnsi="宋体" w:eastAsia="仿宋_GB2312" w:cstheme="minorBidi"/>
          <w:color w:val="auto"/>
          <w:kern w:val="2"/>
          <w:sz w:val="32"/>
          <w:szCs w:val="32"/>
        </w:rPr>
      </w:pPr>
      <w:r>
        <w:rPr>
          <w:rFonts w:hint="eastAsia" w:ascii="宋体" w:hAnsi="宋体" w:eastAsia="仿宋_GB2312" w:cstheme="minorBidi"/>
          <w:color w:val="auto"/>
          <w:kern w:val="2"/>
          <w:sz w:val="32"/>
          <w:szCs w:val="32"/>
        </w:rPr>
        <w:t>火灾发生后，</w:t>
      </w:r>
      <w:r>
        <w:rPr>
          <w:rFonts w:hint="eastAsia" w:ascii="宋体" w:hAnsi="宋体" w:eastAsia="仿宋_GB2312" w:cstheme="minorBidi"/>
          <w:color w:val="auto"/>
          <w:kern w:val="2"/>
          <w:sz w:val="32"/>
          <w:szCs w:val="32"/>
          <w:lang w:val="en-US" w:eastAsia="zh-CN"/>
        </w:rPr>
        <w:t>区森防指挥</w:t>
      </w:r>
      <w:r>
        <w:rPr>
          <w:rFonts w:hint="eastAsia" w:ascii="宋体" w:hAnsi="宋体" w:eastAsia="仿宋_GB2312" w:cstheme="minorBidi"/>
          <w:color w:val="auto"/>
          <w:kern w:val="2"/>
          <w:sz w:val="32"/>
          <w:szCs w:val="32"/>
        </w:rPr>
        <w:t>部严格按照国家森林草原火灾信息发布有关规定，及时、准确、客观向社会发布。</w:t>
      </w:r>
    </w:p>
    <w:p>
      <w:pPr>
        <w:pStyle w:val="12"/>
        <w:pageBreakBefore w:val="0"/>
        <w:widowControl w:val="0"/>
        <w:kinsoku/>
        <w:wordWrap/>
        <w:overflowPunct/>
        <w:topLinePunct w:val="0"/>
        <w:autoSpaceDE/>
        <w:autoSpaceDN/>
        <w:bidi w:val="0"/>
        <w:spacing w:beforeAutospacing="0" w:afterAutospacing="0" w:line="360" w:lineRule="auto"/>
        <w:ind w:firstLine="640" w:firstLineChars="200"/>
        <w:textAlignment w:val="auto"/>
        <w:rPr>
          <w:rFonts w:hint="eastAsia" w:ascii="仿宋_GB2312" w:hAnsi="仿宋_GB2312" w:eastAsia="仿宋_GB2312" w:cs="仿宋_GB2312"/>
          <w:bCs/>
          <w:color w:val="auto"/>
          <w:kern w:val="44"/>
          <w:sz w:val="32"/>
          <w:szCs w:val="44"/>
          <w:lang w:val="en-US" w:eastAsia="zh-CN" w:bidi="ar-SA"/>
        </w:rPr>
      </w:pPr>
      <w:r>
        <w:rPr>
          <w:rFonts w:hint="eastAsia" w:ascii="仿宋_GB2312" w:hAnsi="仿宋_GB2312" w:eastAsia="仿宋_GB2312" w:cs="仿宋_GB2312"/>
          <w:bCs/>
          <w:color w:val="auto"/>
          <w:kern w:val="44"/>
          <w:sz w:val="32"/>
          <w:szCs w:val="44"/>
          <w:lang w:val="en-US" w:eastAsia="zh-CN" w:bidi="ar-SA"/>
        </w:rPr>
        <w:t>6.2.9 火场清理</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bCs/>
          <w:color w:val="auto"/>
          <w:kern w:val="44"/>
          <w:sz w:val="32"/>
          <w:szCs w:val="44"/>
          <w:lang w:val="en-US" w:eastAsia="zh-CN" w:bidi="ar-SA"/>
        </w:rPr>
      </w:pPr>
      <w:r>
        <w:rPr>
          <w:rFonts w:hint="eastAsia" w:ascii="仿宋_GB2312" w:hAnsi="仿宋_GB2312" w:eastAsia="仿宋_GB2312" w:cs="仿宋_GB2312"/>
          <w:bCs/>
          <w:color w:val="auto"/>
          <w:kern w:val="44"/>
          <w:sz w:val="32"/>
          <w:szCs w:val="44"/>
          <w:lang w:val="en-US" w:eastAsia="zh-CN" w:bidi="ar-SA"/>
        </w:rPr>
        <w:t>森林草原火灾扑灭后，继续组织扑火人员做好余火清理工作，划分责任区域，并留足人员看守火场。经检查验收，达到无火、无烟、无气后，扑火人员方可撤离。</w:t>
      </w:r>
    </w:p>
    <w:p>
      <w:pPr>
        <w:pStyle w:val="12"/>
        <w:pageBreakBefore w:val="0"/>
        <w:widowControl w:val="0"/>
        <w:kinsoku/>
        <w:wordWrap/>
        <w:overflowPunct/>
        <w:topLinePunct w:val="0"/>
        <w:autoSpaceDE/>
        <w:autoSpaceDN/>
        <w:bidi w:val="0"/>
        <w:spacing w:beforeAutospacing="0" w:afterAutospacing="0" w:line="360" w:lineRule="auto"/>
        <w:ind w:firstLine="640" w:firstLineChars="200"/>
        <w:textAlignment w:val="auto"/>
        <w:rPr>
          <w:rFonts w:hint="eastAsia" w:ascii="仿宋_GB2312" w:hAnsi="仿宋_GB2312" w:eastAsia="仿宋_GB2312" w:cs="仿宋_GB2312"/>
          <w:bCs/>
          <w:color w:val="auto"/>
          <w:kern w:val="44"/>
          <w:sz w:val="32"/>
          <w:szCs w:val="44"/>
          <w:lang w:val="en-US" w:eastAsia="zh-CN" w:bidi="ar-SA"/>
        </w:rPr>
      </w:pPr>
      <w:r>
        <w:rPr>
          <w:rFonts w:hint="eastAsia" w:ascii="仿宋_GB2312" w:hAnsi="仿宋_GB2312" w:eastAsia="仿宋_GB2312" w:cs="仿宋_GB2312"/>
          <w:bCs/>
          <w:color w:val="auto"/>
          <w:kern w:val="44"/>
          <w:sz w:val="32"/>
          <w:szCs w:val="44"/>
          <w:lang w:val="en-US" w:eastAsia="zh-CN" w:bidi="ar-SA"/>
        </w:rPr>
        <w:t>6.2.10 应急结束</w:t>
      </w:r>
    </w:p>
    <w:p>
      <w:pPr>
        <w:pStyle w:val="12"/>
        <w:pageBreakBefore w:val="0"/>
        <w:widowControl w:val="0"/>
        <w:kinsoku/>
        <w:wordWrap/>
        <w:overflowPunct/>
        <w:topLinePunct w:val="0"/>
        <w:autoSpaceDE/>
        <w:autoSpaceDN/>
        <w:bidi w:val="0"/>
        <w:spacing w:beforeAutospacing="0" w:afterAutospacing="0" w:line="360" w:lineRule="auto"/>
        <w:ind w:firstLine="640" w:firstLineChars="200"/>
        <w:textAlignment w:val="auto"/>
        <w:rPr>
          <w:color w:val="auto"/>
        </w:rPr>
      </w:pPr>
      <w:r>
        <w:rPr>
          <w:rFonts w:hint="eastAsia" w:ascii="宋体" w:hAnsi="宋体" w:eastAsia="仿宋_GB2312" w:cstheme="minorBidi"/>
          <w:color w:val="auto"/>
          <w:kern w:val="2"/>
          <w:sz w:val="32"/>
          <w:szCs w:val="32"/>
        </w:rPr>
        <w:t>在森林草原火灾全部扑灭、火场清理验收合格后，由启动应急响应的原机构决定终止应急响应。</w:t>
      </w:r>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outlineLvl w:val="0"/>
        <w:rPr>
          <w:rFonts w:hint="eastAsia" w:ascii="黑体" w:eastAsia="黑体"/>
          <w:bCs/>
          <w:color w:val="auto"/>
          <w:kern w:val="44"/>
          <w:sz w:val="32"/>
          <w:szCs w:val="44"/>
          <w:lang w:val="en-US" w:eastAsia="zh-CN"/>
        </w:rPr>
      </w:pPr>
      <w:bookmarkStart w:id="144" w:name="_Toc14384"/>
      <w:bookmarkStart w:id="145" w:name="_Toc9218"/>
      <w:bookmarkStart w:id="146" w:name="_Toc28847"/>
      <w:r>
        <w:rPr>
          <w:rFonts w:hint="eastAsia" w:ascii="黑体" w:eastAsia="黑体"/>
          <w:bCs/>
          <w:color w:val="auto"/>
          <w:kern w:val="44"/>
          <w:sz w:val="32"/>
          <w:szCs w:val="44"/>
          <w:lang w:val="en-US" w:eastAsia="zh-CN"/>
        </w:rPr>
        <w:t>7 区级层面应对工作</w:t>
      </w:r>
      <w:bookmarkEnd w:id="144"/>
      <w:bookmarkEnd w:id="145"/>
      <w:bookmarkEnd w:id="146"/>
    </w:p>
    <w:p>
      <w:pPr>
        <w:pStyle w:val="12"/>
        <w:pageBreakBefore w:val="0"/>
        <w:widowControl w:val="0"/>
        <w:kinsoku/>
        <w:wordWrap/>
        <w:overflowPunct/>
        <w:topLinePunct w:val="0"/>
        <w:autoSpaceDE/>
        <w:autoSpaceDN/>
        <w:bidi w:val="0"/>
        <w:spacing w:beforeAutospacing="0" w:afterAutospacing="0" w:line="360" w:lineRule="auto"/>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森林草原火灾发生后，根据火灾严重程度、火场发展态势和当地扑救情况，区级层面应对工作由低到高设定Ⅲ级、Ⅱ级、Ⅰ级</w:t>
      </w:r>
      <w:r>
        <w:rPr>
          <w:rFonts w:hint="eastAsia" w:ascii="仿宋_GB2312" w:hAnsi="仿宋_GB2312" w:eastAsia="仿宋_GB2312" w:cs="仿宋_GB2312"/>
          <w:color w:val="auto"/>
          <w:kern w:val="2"/>
          <w:sz w:val="32"/>
          <w:szCs w:val="32"/>
          <w:lang w:val="en-US" w:eastAsia="zh-CN"/>
        </w:rPr>
        <w:t>三</w:t>
      </w:r>
      <w:r>
        <w:rPr>
          <w:rFonts w:hint="eastAsia" w:ascii="仿宋_GB2312" w:hAnsi="仿宋_GB2312" w:eastAsia="仿宋_GB2312" w:cs="仿宋_GB2312"/>
          <w:color w:val="auto"/>
          <w:kern w:val="2"/>
          <w:sz w:val="32"/>
          <w:szCs w:val="32"/>
        </w:rPr>
        <w:t>个响应等级。</w:t>
      </w:r>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outlineLvl w:val="1"/>
        <w:rPr>
          <w:rFonts w:hint="eastAsia" w:ascii="黑体" w:eastAsia="黑体"/>
          <w:bCs/>
          <w:color w:val="auto"/>
          <w:kern w:val="44"/>
          <w:sz w:val="32"/>
          <w:szCs w:val="44"/>
          <w:lang w:val="en-US" w:eastAsia="zh-CN"/>
        </w:rPr>
      </w:pPr>
      <w:bookmarkStart w:id="147" w:name="_Toc18020"/>
      <w:bookmarkStart w:id="148" w:name="_Toc31063"/>
      <w:bookmarkStart w:id="149" w:name="_Toc3884"/>
      <w:r>
        <w:rPr>
          <w:rFonts w:hint="eastAsia" w:ascii="黑体" w:eastAsia="黑体"/>
          <w:bCs/>
          <w:color w:val="auto"/>
          <w:kern w:val="44"/>
          <w:sz w:val="32"/>
          <w:szCs w:val="44"/>
          <w:lang w:val="en-US" w:eastAsia="zh-CN"/>
        </w:rPr>
        <w:t>7.1 Ⅲ级响应</w:t>
      </w:r>
      <w:bookmarkEnd w:id="147"/>
      <w:bookmarkEnd w:id="148"/>
      <w:bookmarkEnd w:id="149"/>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jc w:val="both"/>
        <w:textAlignment w:val="auto"/>
        <w:outlineLvl w:val="9"/>
        <w:rPr>
          <w:rFonts w:hint="eastAsia" w:ascii="仿宋_GB2312" w:hAnsi="仿宋_GB2312" w:eastAsia="仿宋_GB2312" w:cs="仿宋_GB2312"/>
          <w:bCs/>
          <w:color w:val="auto"/>
          <w:kern w:val="44"/>
          <w:sz w:val="32"/>
          <w:szCs w:val="44"/>
        </w:rPr>
      </w:pPr>
      <w:bookmarkStart w:id="150" w:name="_Toc8852"/>
      <w:bookmarkStart w:id="151" w:name="_Toc10092"/>
      <w:bookmarkStart w:id="152" w:name="_Toc3992"/>
      <w:r>
        <w:rPr>
          <w:rFonts w:hint="eastAsia" w:ascii="仿宋_GB2312" w:hAnsi="仿宋_GB2312" w:eastAsia="仿宋_GB2312" w:cs="仿宋_GB2312"/>
          <w:bCs/>
          <w:color w:val="auto"/>
          <w:kern w:val="44"/>
          <w:sz w:val="32"/>
          <w:szCs w:val="44"/>
          <w:lang w:val="en-US" w:eastAsia="zh-CN"/>
        </w:rPr>
        <w:t>7</w:t>
      </w:r>
      <w:r>
        <w:rPr>
          <w:rFonts w:hint="eastAsia" w:ascii="仿宋_GB2312" w:hAnsi="仿宋_GB2312" w:eastAsia="仿宋_GB2312" w:cs="仿宋_GB2312"/>
          <w:bCs/>
          <w:color w:val="auto"/>
          <w:kern w:val="44"/>
          <w:sz w:val="32"/>
          <w:szCs w:val="44"/>
        </w:rPr>
        <w:t>.1.1 启动条件</w:t>
      </w:r>
      <w:bookmarkEnd w:id="150"/>
      <w:bookmarkEnd w:id="151"/>
      <w:bookmarkEnd w:id="152"/>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00" w:lineRule="atLeast"/>
        <w:ind w:left="0" w:right="0" w:firstLine="640" w:firstLineChars="200"/>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（1）防火期内的主要节假日（元旦、春节、清明节、劳动节、国庆节）期间；</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00" w:lineRule="atLeas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（2）非防火期内发生的一般森林草原火灾。</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00" w:lineRule="atLeast"/>
        <w:ind w:left="0" w:right="0" w:firstLine="640" w:firstLineChars="200"/>
        <w:textAlignment w:val="auto"/>
        <w:rPr>
          <w:rFonts w:hint="eastAsia" w:ascii="仿宋_GB2312" w:hAnsi="仿宋_GB2312" w:eastAsia="仿宋_GB2312" w:cs="仿宋_GB2312"/>
          <w:color w:val="auto"/>
          <w:kern w:val="0"/>
          <w:sz w:val="32"/>
          <w:szCs w:val="32"/>
          <w:lang w:val="en-US" w:eastAsia="zh-CN"/>
        </w:rPr>
      </w:pPr>
      <w:r>
        <w:rPr>
          <w:rFonts w:ascii="仿宋_GB2312" w:hAnsi="仿宋_GB2312" w:eastAsia="仿宋_GB2312" w:cs="仿宋_GB2312"/>
          <w:i w:val="0"/>
          <w:iCs w:val="0"/>
          <w:caps w:val="0"/>
          <w:color w:val="auto"/>
          <w:spacing w:val="0"/>
          <w:sz w:val="32"/>
          <w:szCs w:val="32"/>
          <w:shd w:val="clear" w:fill="FFFFFF"/>
        </w:rPr>
        <w:t>符合上述条件之一时，</w:t>
      </w:r>
      <w:r>
        <w:rPr>
          <w:rFonts w:hint="eastAsia" w:ascii="仿宋_GB2312" w:hAnsi="仿宋_GB2312" w:eastAsia="仿宋_GB2312" w:cs="仿宋_GB2312"/>
          <w:i w:val="0"/>
          <w:iCs w:val="0"/>
          <w:caps w:val="0"/>
          <w:color w:val="auto"/>
          <w:spacing w:val="0"/>
          <w:sz w:val="32"/>
          <w:szCs w:val="32"/>
          <w:shd w:val="clear" w:fill="FFFFFF"/>
          <w:lang w:val="en-US" w:eastAsia="zh-CN"/>
        </w:rPr>
        <w:t>区</w:t>
      </w:r>
      <w:r>
        <w:rPr>
          <w:rFonts w:hint="eastAsia" w:ascii="仿宋_GB2312" w:hAnsi="仿宋_GB2312" w:eastAsia="仿宋_GB2312" w:cs="仿宋_GB2312"/>
          <w:i w:val="0"/>
          <w:iCs w:val="0"/>
          <w:caps w:val="0"/>
          <w:color w:val="auto"/>
          <w:spacing w:val="0"/>
          <w:sz w:val="32"/>
          <w:szCs w:val="32"/>
          <w:shd w:val="clear" w:fill="FFFFFF"/>
        </w:rPr>
        <w:t>森防指启动</w:t>
      </w:r>
      <w:r>
        <w:rPr>
          <w:rFonts w:hint="eastAsia" w:ascii="仿宋_GB2312" w:hAnsi="仿宋_GB2312" w:eastAsia="仿宋_GB2312" w:cs="仿宋_GB2312"/>
          <w:i w:val="0"/>
          <w:iCs w:val="0"/>
          <w:caps w:val="0"/>
          <w:color w:val="auto"/>
          <w:spacing w:val="0"/>
          <w:sz w:val="32"/>
          <w:szCs w:val="32"/>
          <w:shd w:val="clear" w:fill="FFFFFF"/>
          <w:lang w:val="en-US" w:eastAsia="zh-CN"/>
        </w:rPr>
        <w:t>Ⅲ</w:t>
      </w:r>
      <w:r>
        <w:rPr>
          <w:rFonts w:hint="eastAsia" w:ascii="仿宋_GB2312" w:hAnsi="仿宋_GB2312" w:eastAsia="仿宋_GB2312" w:cs="仿宋_GB2312"/>
          <w:i w:val="0"/>
          <w:iCs w:val="0"/>
          <w:caps w:val="0"/>
          <w:color w:val="auto"/>
          <w:spacing w:val="0"/>
          <w:sz w:val="32"/>
          <w:szCs w:val="32"/>
          <w:shd w:val="clear" w:fill="FFFFFF"/>
        </w:rPr>
        <w:t>级响应</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12"/>
        <w:pageBreakBefore w:val="0"/>
        <w:widowControl w:val="0"/>
        <w:kinsoku/>
        <w:wordWrap/>
        <w:overflowPunct/>
        <w:topLinePunct w:val="0"/>
        <w:autoSpaceDE/>
        <w:autoSpaceDN/>
        <w:bidi w:val="0"/>
        <w:spacing w:beforeAutospacing="0" w:afterAutospacing="0" w:line="360" w:lineRule="auto"/>
        <w:ind w:firstLine="640" w:firstLineChars="200"/>
        <w:jc w:val="both"/>
        <w:textAlignment w:val="auto"/>
        <w:outlineLvl w:val="9"/>
        <w:rPr>
          <w:rFonts w:hint="eastAsia" w:ascii="仿宋_GB2312" w:hAnsi="仿宋_GB2312" w:eastAsia="仿宋_GB2312" w:cs="仿宋_GB2312"/>
          <w:bCs/>
          <w:color w:val="auto"/>
          <w:kern w:val="44"/>
          <w:sz w:val="32"/>
          <w:szCs w:val="44"/>
        </w:rPr>
      </w:pPr>
      <w:r>
        <w:rPr>
          <w:rFonts w:hint="eastAsia" w:ascii="仿宋_GB2312" w:hAnsi="仿宋_GB2312" w:eastAsia="仿宋_GB2312" w:cs="仿宋_GB2312"/>
          <w:bCs/>
          <w:color w:val="auto"/>
          <w:kern w:val="44"/>
          <w:sz w:val="32"/>
          <w:szCs w:val="44"/>
          <w:lang w:val="en-US" w:eastAsia="zh-CN"/>
        </w:rPr>
        <w:t>7</w:t>
      </w:r>
      <w:r>
        <w:rPr>
          <w:rFonts w:hint="eastAsia" w:ascii="仿宋_GB2312" w:hAnsi="仿宋_GB2312" w:eastAsia="仿宋_GB2312" w:cs="仿宋_GB2312"/>
          <w:bCs/>
          <w:color w:val="auto"/>
          <w:kern w:val="44"/>
          <w:sz w:val="32"/>
          <w:szCs w:val="44"/>
        </w:rPr>
        <w:t>.1.2 响应措施</w:t>
      </w:r>
    </w:p>
    <w:p>
      <w:pPr>
        <w:pStyle w:val="12"/>
        <w:pageBreakBefore w:val="0"/>
        <w:widowControl w:val="0"/>
        <w:kinsoku/>
        <w:wordWrap/>
        <w:overflowPunct/>
        <w:topLinePunct w:val="0"/>
        <w:autoSpaceDE/>
        <w:autoSpaceDN/>
        <w:bidi w:val="0"/>
        <w:spacing w:beforeAutospacing="0" w:afterAutospacing="0" w:line="360" w:lineRule="auto"/>
        <w:ind w:firstLine="640" w:firstLineChars="200"/>
        <w:jc w:val="both"/>
        <w:textAlignment w:val="auto"/>
        <w:outlineLvl w:val="9"/>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1</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rPr>
        <w:t>森防指办公室进入应急状态，加强火灾监测，及时连线调度火灾信息，研判火情发展态势；</w:t>
      </w:r>
      <w:r>
        <w:rPr>
          <w:rFonts w:hint="eastAsia" w:ascii="仿宋_GB2312" w:hAnsi="仿宋_GB2312" w:eastAsia="仿宋_GB2312" w:cs="仿宋_GB2312"/>
          <w:color w:val="auto"/>
          <w:kern w:val="2"/>
          <w:sz w:val="32"/>
          <w:szCs w:val="32"/>
          <w:lang w:val="en-US" w:eastAsia="zh-CN"/>
        </w:rPr>
        <w:t>同时</w:t>
      </w:r>
      <w:r>
        <w:rPr>
          <w:rFonts w:hint="eastAsia" w:ascii="仿宋_GB2312" w:hAnsi="仿宋_GB2312" w:eastAsia="仿宋_GB2312" w:cs="仿宋_GB2312"/>
          <w:color w:val="auto"/>
          <w:kern w:val="2"/>
          <w:sz w:val="32"/>
          <w:szCs w:val="32"/>
        </w:rPr>
        <w:t>成立前线指挥部，由</w:t>
      </w: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rPr>
        <w:t>森防指</w:t>
      </w:r>
      <w:r>
        <w:rPr>
          <w:rFonts w:hint="eastAsia" w:ascii="仿宋_GB2312" w:hAnsi="仿宋_GB2312" w:eastAsia="仿宋_GB2312" w:cs="仿宋_GB2312"/>
          <w:color w:val="auto"/>
          <w:kern w:val="2"/>
          <w:sz w:val="32"/>
          <w:szCs w:val="32"/>
          <w:lang w:val="en-US" w:eastAsia="zh-CN"/>
        </w:rPr>
        <w:t>副总指挥</w:t>
      </w:r>
      <w:r>
        <w:rPr>
          <w:rFonts w:hint="eastAsia" w:ascii="仿宋_GB2312" w:hAnsi="仿宋_GB2312" w:eastAsia="仿宋_GB2312" w:cs="仿宋_GB2312"/>
          <w:color w:val="auto"/>
          <w:kern w:val="2"/>
          <w:sz w:val="32"/>
          <w:szCs w:val="32"/>
        </w:rPr>
        <w:t>组织专业</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半专业扑火队全力扑救。</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jc w:val="both"/>
        <w:textAlignment w:val="auto"/>
        <w:outlineLvl w:val="9"/>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2</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加强卫星监测热点、地面巡护信息反馈，及时调度火情信息，派出工作组赶赴火场，协调、指导火灾扑救工作，同时立即向</w:t>
      </w: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rPr>
        <w:t>森防指</w:t>
      </w:r>
      <w:r>
        <w:rPr>
          <w:rFonts w:hint="eastAsia" w:ascii="仿宋_GB2312" w:hAnsi="仿宋_GB2312" w:eastAsia="仿宋_GB2312" w:cs="仿宋_GB2312"/>
          <w:color w:val="auto"/>
          <w:kern w:val="2"/>
          <w:sz w:val="32"/>
          <w:szCs w:val="32"/>
        </w:rPr>
        <w:t>和市森林草原防灭火指挥部办公室报告。</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outlineLvl w:val="9"/>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3</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加强对火灾扑救工作的指导，根据需要调派消防救援大队、应急救援大队</w:t>
      </w:r>
      <w:r>
        <w:rPr>
          <w:rFonts w:hint="eastAsia" w:ascii="仿宋_GB2312" w:hAnsi="仿宋_GB2312" w:eastAsia="仿宋_GB2312" w:cs="仿宋_GB2312"/>
          <w:color w:val="auto"/>
          <w:kern w:val="2"/>
          <w:sz w:val="32"/>
          <w:szCs w:val="32"/>
          <w:lang w:eastAsia="zh-CN"/>
        </w:rPr>
        <w:t>、</w:t>
      </w:r>
      <w:r>
        <w:rPr>
          <w:rFonts w:hint="eastAsia" w:ascii="仿宋_GB2312" w:hAnsi="Times New Roman" w:eastAsia="仿宋_GB2312" w:cs="仿宋_GB2312"/>
          <w:i w:val="0"/>
          <w:iCs w:val="0"/>
          <w:caps w:val="0"/>
          <w:color w:val="auto"/>
          <w:spacing w:val="0"/>
          <w:sz w:val="32"/>
          <w:szCs w:val="32"/>
          <w:shd w:val="clear" w:fill="FFFFFF"/>
          <w:lang w:eastAsia="zh-CN"/>
        </w:rPr>
        <w:t>内蒙古森林消防总队特勤大队</w:t>
      </w:r>
      <w:r>
        <w:rPr>
          <w:rFonts w:hint="eastAsia" w:ascii="仿宋_GB2312" w:hAnsi="仿宋_GB2312" w:eastAsia="仿宋_GB2312" w:cs="仿宋_GB2312"/>
          <w:color w:val="auto"/>
          <w:kern w:val="2"/>
          <w:sz w:val="32"/>
          <w:szCs w:val="32"/>
        </w:rPr>
        <w:t>等专业扑火力量进行支援。</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outlineLvl w:val="9"/>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4</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加强气象监测，气象</w:t>
      </w:r>
      <w:r>
        <w:rPr>
          <w:rFonts w:hint="eastAsia" w:ascii="仿宋_GB2312" w:hAnsi="仿宋_GB2312" w:eastAsia="仿宋_GB2312" w:cs="仿宋_GB2312"/>
          <w:color w:val="auto"/>
          <w:kern w:val="2"/>
          <w:sz w:val="32"/>
          <w:szCs w:val="32"/>
          <w:lang w:val="en-US" w:eastAsia="zh-CN"/>
        </w:rPr>
        <w:t>分局</w:t>
      </w:r>
      <w:r>
        <w:rPr>
          <w:rFonts w:hint="eastAsia" w:ascii="仿宋_GB2312" w:hAnsi="仿宋_GB2312" w:eastAsia="仿宋_GB2312" w:cs="仿宋_GB2312"/>
          <w:color w:val="auto"/>
          <w:kern w:val="2"/>
          <w:sz w:val="32"/>
          <w:szCs w:val="32"/>
        </w:rPr>
        <w:t>及时提供天气预报和天气实况服务。</w:t>
      </w:r>
    </w:p>
    <w:p>
      <w:pPr>
        <w:keepNext w:val="0"/>
        <w:keepLines w:val="0"/>
        <w:pageBreakBefore w:val="0"/>
        <w:widowControl w:val="0"/>
        <w:kinsoku/>
        <w:wordWrap/>
        <w:overflowPunct/>
        <w:topLinePunct w:val="0"/>
        <w:autoSpaceDE/>
        <w:autoSpaceDN/>
        <w:bidi w:val="0"/>
        <w:snapToGrid/>
        <w:spacing w:line="360" w:lineRule="auto"/>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）视情发布高森林草原火险预警信息</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kinsoku/>
        <w:wordWrap/>
        <w:overflowPunct/>
        <w:topLinePunct w:val="0"/>
        <w:autoSpaceDE/>
        <w:autoSpaceDN/>
        <w:bidi w:val="0"/>
        <w:snapToGrid/>
        <w:spacing w:line="360" w:lineRule="auto"/>
        <w:ind w:firstLine="640" w:firstLineChars="200"/>
        <w:jc w:val="both"/>
        <w:textAlignment w:val="auto"/>
        <w:rPr>
          <w:rFonts w:hint="eastAsia"/>
          <w:color w:val="auto"/>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rPr>
        <w:t>）根据火场周边环境，指导保护重要目标物及重大危险源的安全。</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outlineLvl w:val="9"/>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2"/>
          <w:sz w:val="32"/>
          <w:szCs w:val="32"/>
        </w:rPr>
        <w:t>迅速将受伤人员送医院治疗，必要时对重伤员实施异地救治。</w:t>
      </w:r>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outlineLvl w:val="1"/>
        <w:rPr>
          <w:rFonts w:hint="eastAsia" w:ascii="黑体" w:eastAsia="黑体"/>
          <w:bCs/>
          <w:color w:val="auto"/>
          <w:kern w:val="44"/>
          <w:sz w:val="32"/>
          <w:szCs w:val="44"/>
          <w:lang w:val="en-US" w:eastAsia="zh-CN"/>
        </w:rPr>
      </w:pPr>
      <w:bookmarkStart w:id="153" w:name="_Toc27704"/>
      <w:bookmarkStart w:id="154" w:name="_Toc31226"/>
      <w:bookmarkStart w:id="155" w:name="_Toc9581"/>
      <w:r>
        <w:rPr>
          <w:rFonts w:hint="eastAsia" w:ascii="黑体" w:eastAsia="黑体"/>
          <w:bCs/>
          <w:color w:val="auto"/>
          <w:kern w:val="44"/>
          <w:sz w:val="32"/>
          <w:szCs w:val="44"/>
          <w:lang w:val="en-US" w:eastAsia="zh-CN"/>
        </w:rPr>
        <w:t>7.2 Ⅱ级响应</w:t>
      </w:r>
      <w:bookmarkEnd w:id="153"/>
      <w:bookmarkEnd w:id="154"/>
      <w:bookmarkEnd w:id="155"/>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Cs/>
          <w:color w:val="auto"/>
          <w:kern w:val="44"/>
          <w:sz w:val="32"/>
          <w:szCs w:val="44"/>
        </w:rPr>
      </w:pPr>
      <w:r>
        <w:rPr>
          <w:rFonts w:hint="eastAsia" w:ascii="仿宋_GB2312" w:hAnsi="仿宋_GB2312" w:eastAsia="仿宋_GB2312" w:cs="仿宋_GB2312"/>
          <w:bCs/>
          <w:color w:val="auto"/>
          <w:kern w:val="44"/>
          <w:sz w:val="32"/>
          <w:szCs w:val="44"/>
          <w:lang w:val="en-US" w:eastAsia="zh-CN"/>
        </w:rPr>
        <w:t>7</w:t>
      </w:r>
      <w:r>
        <w:rPr>
          <w:rFonts w:hint="eastAsia" w:ascii="仿宋_GB2312" w:hAnsi="仿宋_GB2312" w:eastAsia="仿宋_GB2312" w:cs="仿宋_GB2312"/>
          <w:bCs/>
          <w:color w:val="auto"/>
          <w:kern w:val="44"/>
          <w:sz w:val="32"/>
          <w:szCs w:val="44"/>
        </w:rPr>
        <w:t>.2.1 启动条件</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00" w:lineRule="atLeast"/>
        <w:ind w:left="0" w:right="0" w:firstLine="640" w:firstLineChars="200"/>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（1）防火期内的主要节假日（元旦、春节、清明节、劳动节、国庆节）期间，发生的一般森林草原火灾；</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00" w:lineRule="atLeast"/>
        <w:ind w:left="0" w:right="0" w:firstLine="640" w:firstLineChars="200"/>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（2）四级响应实施后30分钟内森林草原火灾火势仍未得到有效控制。</w:t>
      </w:r>
    </w:p>
    <w:p>
      <w:pPr>
        <w:pageBreakBefore w:val="0"/>
        <w:widowControl w:val="0"/>
        <w:kinsoku/>
        <w:wordWrap/>
        <w:overflowPunct/>
        <w:topLinePunct w:val="0"/>
        <w:autoSpaceDE/>
        <w:autoSpaceDN/>
        <w:bidi w:val="0"/>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（3）同时发生2起以上的森林草原火灾。</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00" w:lineRule="atLeast"/>
        <w:ind w:left="0" w:right="0" w:firstLine="640" w:firstLineChars="200"/>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符合上述条件之一时，区森防指启动Ⅱ级响应。</w:t>
      </w:r>
    </w:p>
    <w:p>
      <w:pPr>
        <w:keepNext w:val="0"/>
        <w:keepLines w:val="0"/>
        <w:pageBreakBefore w:val="0"/>
        <w:widowControl w:val="0"/>
        <w:kinsoku/>
        <w:wordWrap/>
        <w:overflowPunct/>
        <w:topLinePunct w:val="0"/>
        <w:autoSpaceDE/>
        <w:autoSpaceDN/>
        <w:bidi w:val="0"/>
        <w:snapToGrid/>
        <w:spacing w:line="360" w:lineRule="auto"/>
        <w:ind w:firstLine="640" w:firstLineChars="200"/>
        <w:jc w:val="both"/>
        <w:textAlignment w:val="auto"/>
        <w:rPr>
          <w:rFonts w:hint="eastAsia" w:ascii="仿宋_GB2312" w:hAnsi="仿宋_GB2312" w:eastAsia="仿宋_GB2312" w:cs="仿宋_GB2312"/>
          <w:bCs/>
          <w:color w:val="auto"/>
          <w:kern w:val="44"/>
          <w:sz w:val="32"/>
          <w:szCs w:val="44"/>
          <w:lang w:val="en-US" w:eastAsia="zh-CN"/>
        </w:rPr>
      </w:pPr>
      <w:r>
        <w:rPr>
          <w:rFonts w:hint="eastAsia" w:ascii="仿宋_GB2312" w:hAnsi="仿宋_GB2312" w:eastAsia="仿宋_GB2312" w:cs="仿宋_GB2312"/>
          <w:bCs/>
          <w:color w:val="auto"/>
          <w:kern w:val="44"/>
          <w:sz w:val="32"/>
          <w:szCs w:val="44"/>
          <w:lang w:val="en-US" w:eastAsia="zh-CN"/>
        </w:rPr>
        <w:t>7.2.2 响应措施</w:t>
      </w:r>
    </w:p>
    <w:p>
      <w:pPr>
        <w:pStyle w:val="12"/>
        <w:pageBreakBefore w:val="0"/>
        <w:widowControl w:val="0"/>
        <w:kinsoku/>
        <w:wordWrap/>
        <w:overflowPunct/>
        <w:topLinePunct w:val="0"/>
        <w:autoSpaceDE/>
        <w:autoSpaceDN/>
        <w:bidi w:val="0"/>
        <w:spacing w:beforeAutospacing="0" w:afterAutospacing="0" w:line="360" w:lineRule="auto"/>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在</w:t>
      </w:r>
      <w:r>
        <w:rPr>
          <w:rFonts w:hint="eastAsia" w:ascii="仿宋_GB2312" w:hAnsi="仿宋_GB2312" w:eastAsia="仿宋_GB2312" w:cs="仿宋_GB2312"/>
          <w:color w:val="auto"/>
          <w:kern w:val="2"/>
          <w:sz w:val="32"/>
          <w:szCs w:val="32"/>
          <w:lang w:val="en-US" w:eastAsia="zh-CN"/>
        </w:rPr>
        <w:t>Ⅲ</w:t>
      </w:r>
      <w:r>
        <w:rPr>
          <w:rFonts w:hint="eastAsia" w:ascii="仿宋_GB2312" w:hAnsi="仿宋_GB2312" w:eastAsia="仿宋_GB2312" w:cs="仿宋_GB2312"/>
          <w:color w:val="auto"/>
          <w:kern w:val="2"/>
          <w:sz w:val="32"/>
          <w:szCs w:val="32"/>
        </w:rPr>
        <w:t>级响应的基础上，启动赴火场工作组、综合调度组、火场通讯组、后勤保障协调组、宣传报道协调组、火案查处协调组等，加强以下措施：</w:t>
      </w:r>
    </w:p>
    <w:p>
      <w:pPr>
        <w:pStyle w:val="12"/>
        <w:pageBreakBefore w:val="0"/>
        <w:widowControl w:val="0"/>
        <w:kinsoku/>
        <w:wordWrap/>
        <w:overflowPunct/>
        <w:topLinePunct w:val="0"/>
        <w:autoSpaceDE/>
        <w:autoSpaceDN/>
        <w:bidi w:val="0"/>
        <w:spacing w:beforeAutospacing="0" w:afterAutospacing="0" w:line="360" w:lineRule="auto"/>
        <w:ind w:firstLine="640" w:firstLineChars="200"/>
        <w:jc w:val="both"/>
        <w:textAlignment w:val="auto"/>
        <w:rPr>
          <w:rFonts w:ascii="宋体" w:hAnsi="宋体" w:eastAsia="仿宋_GB2312" w:cstheme="minorBidi"/>
          <w:color w:val="auto"/>
          <w:kern w:val="2"/>
          <w:sz w:val="32"/>
          <w:szCs w:val="32"/>
        </w:rPr>
      </w:pP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1</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区森防指及时调度了解森林草原火灾最新情况，由区森防指</w:t>
      </w:r>
      <w:r>
        <w:rPr>
          <w:rFonts w:hint="eastAsia" w:ascii="仿宋_GB2312" w:hAnsi="仿宋_GB2312" w:eastAsia="仿宋_GB2312" w:cs="仿宋_GB2312"/>
          <w:color w:val="auto"/>
          <w:kern w:val="2"/>
          <w:sz w:val="32"/>
          <w:szCs w:val="32"/>
          <w:lang w:val="en-US" w:eastAsia="zh-CN"/>
        </w:rPr>
        <w:t>常务副总指挥</w:t>
      </w:r>
      <w:r>
        <w:rPr>
          <w:rFonts w:hint="eastAsia" w:ascii="仿宋_GB2312" w:hAnsi="仿宋_GB2312" w:eastAsia="仿宋_GB2312" w:cs="仿宋_GB2312"/>
          <w:color w:val="auto"/>
          <w:kern w:val="2"/>
          <w:sz w:val="32"/>
          <w:szCs w:val="32"/>
        </w:rPr>
        <w:t>组织火情会商，研究火灾扑救措施；派出工作组赶赴火场，协调、指导火灾扑救工作；同时及时向区委、</w:t>
      </w:r>
      <w:r>
        <w:rPr>
          <w:rFonts w:hint="eastAsia" w:ascii="仿宋_GB2312" w:hAnsi="仿宋_GB2312" w:eastAsia="仿宋_GB2312" w:cs="仿宋_GB2312"/>
          <w:color w:val="auto"/>
          <w:kern w:val="2"/>
          <w:sz w:val="32"/>
          <w:szCs w:val="32"/>
          <w:lang w:val="en-US" w:eastAsia="zh-CN"/>
        </w:rPr>
        <w:t>区人民</w:t>
      </w:r>
      <w:r>
        <w:rPr>
          <w:rFonts w:hint="eastAsia" w:ascii="仿宋_GB2312" w:hAnsi="仿宋_GB2312" w:eastAsia="仿宋_GB2312" w:cs="仿宋_GB2312"/>
          <w:color w:val="auto"/>
          <w:kern w:val="2"/>
          <w:sz w:val="32"/>
          <w:szCs w:val="32"/>
        </w:rPr>
        <w:t>政府和市森林草原防灭火指挥部报告</w:t>
      </w:r>
      <w:r>
        <w:rPr>
          <w:rFonts w:hint="eastAsia" w:ascii="宋体" w:hAnsi="宋体" w:eastAsia="仿宋_GB2312" w:cstheme="minorBidi"/>
          <w:color w:val="auto"/>
          <w:kern w:val="2"/>
          <w:sz w:val="32"/>
          <w:szCs w:val="32"/>
        </w:rPr>
        <w:t>。</w:t>
      </w:r>
    </w:p>
    <w:p>
      <w:pPr>
        <w:pStyle w:val="12"/>
        <w:pageBreakBefore w:val="0"/>
        <w:widowControl w:val="0"/>
        <w:kinsoku/>
        <w:wordWrap/>
        <w:overflowPunct/>
        <w:topLinePunct w:val="0"/>
        <w:autoSpaceDE/>
        <w:autoSpaceDN/>
        <w:bidi w:val="0"/>
        <w:spacing w:beforeAutospacing="0" w:afterAutospacing="0" w:line="360" w:lineRule="auto"/>
        <w:ind w:firstLine="640" w:firstLineChars="200"/>
        <w:jc w:val="both"/>
        <w:textAlignment w:val="auto"/>
        <w:rPr>
          <w:rFonts w:ascii="微软雅黑" w:hAnsi="微软雅黑" w:eastAsia="微软雅黑" w:cs="微软雅黑"/>
          <w:color w:val="auto"/>
          <w:sz w:val="16"/>
          <w:szCs w:val="16"/>
        </w:rPr>
      </w:pPr>
      <w:r>
        <w:rPr>
          <w:rFonts w:hint="eastAsia" w:ascii="宋体" w:hAnsi="宋体" w:eastAsia="仿宋_GB2312" w:cstheme="minorBidi"/>
          <w:color w:val="auto"/>
          <w:kern w:val="2"/>
          <w:sz w:val="32"/>
          <w:szCs w:val="32"/>
          <w:lang w:eastAsia="zh-CN"/>
        </w:rPr>
        <w:t>（</w:t>
      </w:r>
      <w:r>
        <w:rPr>
          <w:rFonts w:hint="eastAsia" w:ascii="宋体" w:hAnsi="宋体" w:eastAsia="仿宋_GB2312" w:cstheme="minorBidi"/>
          <w:color w:val="auto"/>
          <w:kern w:val="2"/>
          <w:sz w:val="32"/>
          <w:szCs w:val="32"/>
          <w:lang w:val="en-US" w:eastAsia="zh-CN"/>
        </w:rPr>
        <w:t>2</w:t>
      </w:r>
      <w:r>
        <w:rPr>
          <w:rFonts w:hint="eastAsia" w:ascii="宋体" w:hAnsi="宋体" w:eastAsia="仿宋_GB2312" w:cstheme="minorBidi"/>
          <w:color w:val="auto"/>
          <w:kern w:val="2"/>
          <w:sz w:val="32"/>
          <w:szCs w:val="32"/>
          <w:lang w:eastAsia="zh-CN"/>
        </w:rPr>
        <w:t>）</w:t>
      </w:r>
      <w:r>
        <w:rPr>
          <w:rFonts w:hint="eastAsia" w:ascii="宋体" w:hAnsi="宋体" w:eastAsia="仿宋_GB2312" w:cstheme="minorBidi"/>
          <w:color w:val="auto"/>
          <w:kern w:val="2"/>
          <w:sz w:val="32"/>
          <w:szCs w:val="32"/>
        </w:rPr>
        <w:t>根据</w:t>
      </w:r>
      <w:r>
        <w:rPr>
          <w:rFonts w:hint="eastAsia" w:ascii="宋体" w:hAnsi="宋体" w:eastAsia="仿宋_GB2312" w:cstheme="minorBidi"/>
          <w:color w:val="auto"/>
          <w:kern w:val="2"/>
          <w:sz w:val="32"/>
          <w:szCs w:val="32"/>
          <w:lang w:val="en-US" w:eastAsia="zh-CN"/>
        </w:rPr>
        <w:t>前线指挥部</w:t>
      </w:r>
      <w:r>
        <w:rPr>
          <w:rFonts w:hint="eastAsia" w:ascii="宋体" w:hAnsi="宋体" w:eastAsia="仿宋_GB2312" w:cstheme="minorBidi"/>
          <w:color w:val="auto"/>
          <w:kern w:val="2"/>
          <w:sz w:val="32"/>
          <w:szCs w:val="32"/>
        </w:rPr>
        <w:t>的请示，及时调派消防救援大队及</w:t>
      </w:r>
      <w:r>
        <w:rPr>
          <w:rFonts w:hint="eastAsia" w:ascii="宋体" w:hAnsi="宋体" w:eastAsia="仿宋_GB2312" w:cstheme="minorBidi"/>
          <w:color w:val="auto"/>
          <w:kern w:val="2"/>
          <w:sz w:val="32"/>
          <w:szCs w:val="32"/>
          <w:lang w:val="en-US" w:eastAsia="zh-CN"/>
        </w:rPr>
        <w:t>协调</w:t>
      </w:r>
      <w:r>
        <w:rPr>
          <w:rFonts w:hint="eastAsia" w:ascii="宋体" w:hAnsi="宋体" w:eastAsia="仿宋_GB2312" w:cstheme="minorBidi"/>
          <w:color w:val="auto"/>
          <w:kern w:val="2"/>
          <w:sz w:val="32"/>
          <w:szCs w:val="32"/>
        </w:rPr>
        <w:t>相邻地区派出专业扑火力量进行支援，根据需要请示市森林草原防灭火指挥部协调调派内蒙古</w:t>
      </w:r>
      <w:r>
        <w:rPr>
          <w:rFonts w:hint="eastAsia" w:ascii="宋体" w:hAnsi="宋体" w:eastAsia="仿宋_GB2312" w:cstheme="minorBidi"/>
          <w:color w:val="auto"/>
          <w:kern w:val="2"/>
          <w:sz w:val="32"/>
          <w:szCs w:val="32"/>
          <w:lang w:val="en-US" w:eastAsia="zh-CN"/>
        </w:rPr>
        <w:t>森林消防救援总</w:t>
      </w:r>
      <w:r>
        <w:rPr>
          <w:rFonts w:hint="eastAsia" w:ascii="宋体" w:hAnsi="宋体" w:eastAsia="仿宋_GB2312" w:cstheme="minorBidi"/>
          <w:color w:val="auto"/>
          <w:kern w:val="2"/>
          <w:sz w:val="32"/>
          <w:szCs w:val="32"/>
        </w:rPr>
        <w:t>队参加火灾扑救。</w:t>
      </w:r>
    </w:p>
    <w:p>
      <w:pPr>
        <w:pStyle w:val="12"/>
        <w:pageBreakBefore w:val="0"/>
        <w:widowControl w:val="0"/>
        <w:kinsoku/>
        <w:wordWrap/>
        <w:overflowPunct/>
        <w:topLinePunct w:val="0"/>
        <w:autoSpaceDE/>
        <w:autoSpaceDN/>
        <w:bidi w:val="0"/>
        <w:spacing w:beforeAutospacing="0" w:afterAutospacing="0" w:line="360" w:lineRule="auto"/>
        <w:ind w:firstLine="640" w:firstLineChars="200"/>
        <w:textAlignment w:val="auto"/>
        <w:rPr>
          <w:rFonts w:ascii="宋体" w:hAnsi="宋体" w:eastAsia="仿宋_GB2312" w:cstheme="minorBidi"/>
          <w:color w:val="auto"/>
          <w:kern w:val="2"/>
          <w:sz w:val="32"/>
          <w:szCs w:val="32"/>
        </w:rPr>
      </w:pPr>
      <w:r>
        <w:rPr>
          <w:rFonts w:hint="eastAsia" w:ascii="宋体" w:hAnsi="宋体" w:eastAsia="仿宋_GB2312" w:cstheme="minorBidi"/>
          <w:color w:val="auto"/>
          <w:kern w:val="2"/>
          <w:sz w:val="32"/>
          <w:szCs w:val="32"/>
          <w:lang w:eastAsia="zh-CN"/>
        </w:rPr>
        <w:t>（</w:t>
      </w:r>
      <w:r>
        <w:rPr>
          <w:rFonts w:hint="eastAsia" w:ascii="宋体" w:hAnsi="宋体" w:eastAsia="仿宋_GB2312" w:cstheme="minorBidi"/>
          <w:color w:val="auto"/>
          <w:kern w:val="2"/>
          <w:sz w:val="32"/>
          <w:szCs w:val="32"/>
          <w:lang w:val="en-US" w:eastAsia="zh-CN"/>
        </w:rPr>
        <w:t>3</w:t>
      </w:r>
      <w:r>
        <w:rPr>
          <w:rFonts w:hint="eastAsia" w:ascii="宋体" w:hAnsi="宋体" w:eastAsia="仿宋_GB2312" w:cstheme="minorBidi"/>
          <w:color w:val="auto"/>
          <w:kern w:val="2"/>
          <w:sz w:val="32"/>
          <w:szCs w:val="32"/>
          <w:lang w:eastAsia="zh-CN"/>
        </w:rPr>
        <w:t>）</w:t>
      </w:r>
      <w:r>
        <w:rPr>
          <w:rFonts w:hint="eastAsia" w:ascii="宋体" w:hAnsi="宋体" w:eastAsia="仿宋_GB2312" w:cstheme="minorBidi"/>
          <w:color w:val="auto"/>
          <w:kern w:val="2"/>
          <w:sz w:val="32"/>
          <w:szCs w:val="32"/>
        </w:rPr>
        <w:t>各地区专业扑火队伍、应急救援大队、武警部队、解放军、民兵预备役部队等做好跨区域增援准备。</w:t>
      </w:r>
    </w:p>
    <w:p>
      <w:pPr>
        <w:pStyle w:val="12"/>
        <w:pageBreakBefore w:val="0"/>
        <w:widowControl w:val="0"/>
        <w:kinsoku/>
        <w:wordWrap/>
        <w:overflowPunct/>
        <w:topLinePunct w:val="0"/>
        <w:autoSpaceDE/>
        <w:autoSpaceDN/>
        <w:bidi w:val="0"/>
        <w:spacing w:beforeAutospacing="0" w:afterAutospacing="0" w:line="360" w:lineRule="auto"/>
        <w:ind w:firstLine="640" w:firstLineChars="200"/>
        <w:textAlignment w:val="auto"/>
        <w:rPr>
          <w:rFonts w:ascii="宋体" w:hAnsi="宋体" w:eastAsia="仿宋_GB2312" w:cstheme="minorBidi"/>
          <w:color w:val="auto"/>
          <w:kern w:val="2"/>
          <w:sz w:val="32"/>
          <w:szCs w:val="32"/>
        </w:rPr>
      </w:pPr>
      <w:r>
        <w:rPr>
          <w:rFonts w:hint="eastAsia" w:ascii="宋体" w:hAnsi="宋体" w:eastAsia="仿宋_GB2312" w:cstheme="minorBidi"/>
          <w:color w:val="auto"/>
          <w:kern w:val="2"/>
          <w:sz w:val="32"/>
          <w:szCs w:val="32"/>
          <w:lang w:eastAsia="zh-CN"/>
        </w:rPr>
        <w:t>（</w:t>
      </w:r>
      <w:r>
        <w:rPr>
          <w:rFonts w:hint="eastAsia" w:ascii="宋体" w:hAnsi="宋体" w:eastAsia="仿宋_GB2312" w:cstheme="minorBidi"/>
          <w:color w:val="auto"/>
          <w:kern w:val="2"/>
          <w:sz w:val="32"/>
          <w:szCs w:val="32"/>
          <w:lang w:val="en-US" w:eastAsia="zh-CN"/>
        </w:rPr>
        <w:t>4</w:t>
      </w:r>
      <w:r>
        <w:rPr>
          <w:rFonts w:hint="eastAsia" w:ascii="宋体" w:hAnsi="宋体" w:eastAsia="仿宋_GB2312" w:cstheme="minorBidi"/>
          <w:color w:val="auto"/>
          <w:kern w:val="2"/>
          <w:sz w:val="32"/>
          <w:szCs w:val="32"/>
          <w:lang w:eastAsia="zh-CN"/>
        </w:rPr>
        <w:t>）</w:t>
      </w:r>
      <w:r>
        <w:rPr>
          <w:rFonts w:hint="eastAsia" w:ascii="宋体" w:hAnsi="宋体" w:eastAsia="仿宋_GB2312" w:cstheme="minorBidi"/>
          <w:color w:val="auto"/>
          <w:kern w:val="2"/>
          <w:sz w:val="32"/>
          <w:szCs w:val="32"/>
        </w:rPr>
        <w:t>保护重要目标。当军事设施、危险化学品生产储存设备等重要目标物和重大危险源受到森林草原火灾威胁时，迅速调集专业队伍，全力消除威胁。</w:t>
      </w:r>
    </w:p>
    <w:p>
      <w:pPr>
        <w:pStyle w:val="12"/>
        <w:pageBreakBefore w:val="0"/>
        <w:widowControl w:val="0"/>
        <w:kinsoku/>
        <w:wordWrap/>
        <w:overflowPunct/>
        <w:topLinePunct w:val="0"/>
        <w:autoSpaceDE/>
        <w:autoSpaceDN/>
        <w:bidi w:val="0"/>
        <w:spacing w:beforeAutospacing="0" w:afterAutospacing="0" w:line="360" w:lineRule="auto"/>
        <w:ind w:firstLine="640" w:firstLineChars="200"/>
        <w:textAlignment w:val="auto"/>
        <w:rPr>
          <w:rFonts w:ascii="微软雅黑" w:hAnsi="微软雅黑" w:eastAsia="微软雅黑" w:cs="微软雅黑"/>
          <w:color w:val="auto"/>
          <w:sz w:val="16"/>
          <w:szCs w:val="16"/>
        </w:rPr>
      </w:pPr>
      <w:r>
        <w:rPr>
          <w:rFonts w:hint="eastAsia" w:ascii="宋体" w:hAnsi="宋体" w:eastAsia="仿宋_GB2312" w:cstheme="minorBidi"/>
          <w:color w:val="auto"/>
          <w:kern w:val="2"/>
          <w:sz w:val="32"/>
          <w:szCs w:val="32"/>
          <w:lang w:eastAsia="zh-CN"/>
        </w:rPr>
        <w:t>（</w:t>
      </w:r>
      <w:r>
        <w:rPr>
          <w:rFonts w:hint="eastAsia" w:ascii="宋体" w:hAnsi="宋体" w:eastAsia="仿宋_GB2312" w:cstheme="minorBidi"/>
          <w:color w:val="auto"/>
          <w:kern w:val="2"/>
          <w:sz w:val="32"/>
          <w:szCs w:val="32"/>
          <w:lang w:val="en-US" w:eastAsia="zh-CN"/>
        </w:rPr>
        <w:t>5</w:t>
      </w:r>
      <w:r>
        <w:rPr>
          <w:rFonts w:hint="eastAsia" w:ascii="宋体" w:hAnsi="宋体" w:eastAsia="仿宋_GB2312" w:cstheme="minorBidi"/>
          <w:color w:val="auto"/>
          <w:kern w:val="2"/>
          <w:sz w:val="32"/>
          <w:szCs w:val="32"/>
          <w:lang w:eastAsia="zh-CN"/>
        </w:rPr>
        <w:t>）</w:t>
      </w:r>
      <w:r>
        <w:rPr>
          <w:rFonts w:hint="eastAsia" w:ascii="宋体" w:hAnsi="宋体" w:eastAsia="仿宋_GB2312" w:cstheme="minorBidi"/>
          <w:color w:val="auto"/>
          <w:kern w:val="2"/>
          <w:sz w:val="32"/>
          <w:szCs w:val="32"/>
        </w:rPr>
        <w:t>气象</w:t>
      </w:r>
      <w:r>
        <w:rPr>
          <w:rFonts w:hint="eastAsia" w:ascii="宋体" w:hAnsi="宋体" w:eastAsia="仿宋_GB2312" w:cstheme="minorBidi"/>
          <w:color w:val="auto"/>
          <w:kern w:val="2"/>
          <w:sz w:val="32"/>
          <w:szCs w:val="32"/>
          <w:lang w:val="en-US" w:eastAsia="zh-CN"/>
        </w:rPr>
        <w:t>分局</w:t>
      </w:r>
      <w:r>
        <w:rPr>
          <w:rFonts w:hint="eastAsia" w:ascii="宋体" w:hAnsi="宋体" w:eastAsia="仿宋_GB2312" w:cstheme="minorBidi"/>
          <w:color w:val="auto"/>
          <w:kern w:val="2"/>
          <w:sz w:val="32"/>
          <w:szCs w:val="32"/>
        </w:rPr>
        <w:t>做好人工影响天气作业准备，根据天气适时开展人工增雨作业。</w:t>
      </w:r>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outlineLvl w:val="1"/>
        <w:rPr>
          <w:rFonts w:hint="eastAsia" w:ascii="黑体" w:eastAsia="黑体"/>
          <w:bCs/>
          <w:color w:val="auto"/>
          <w:kern w:val="44"/>
          <w:sz w:val="32"/>
          <w:szCs w:val="44"/>
          <w:lang w:val="en-US" w:eastAsia="zh-CN"/>
        </w:rPr>
      </w:pPr>
      <w:bookmarkStart w:id="156" w:name="_Toc7224"/>
      <w:bookmarkStart w:id="157" w:name="_Toc9018"/>
      <w:bookmarkStart w:id="158" w:name="_Toc7355"/>
      <w:r>
        <w:rPr>
          <w:rFonts w:hint="eastAsia" w:ascii="黑体" w:eastAsia="黑体"/>
          <w:bCs/>
          <w:color w:val="auto"/>
          <w:kern w:val="44"/>
          <w:sz w:val="32"/>
          <w:szCs w:val="44"/>
          <w:lang w:val="en-US" w:eastAsia="zh-CN"/>
        </w:rPr>
        <w:t>7.3 Ⅰ级响应</w:t>
      </w:r>
      <w:bookmarkEnd w:id="156"/>
      <w:bookmarkEnd w:id="157"/>
      <w:bookmarkEnd w:id="158"/>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Cs/>
          <w:color w:val="auto"/>
          <w:kern w:val="44"/>
          <w:sz w:val="32"/>
          <w:szCs w:val="44"/>
        </w:rPr>
      </w:pPr>
      <w:r>
        <w:rPr>
          <w:rFonts w:hint="eastAsia" w:ascii="仿宋_GB2312" w:hAnsi="仿宋_GB2312" w:eastAsia="仿宋_GB2312" w:cs="仿宋_GB2312"/>
          <w:bCs/>
          <w:color w:val="auto"/>
          <w:kern w:val="44"/>
          <w:sz w:val="32"/>
          <w:szCs w:val="44"/>
          <w:lang w:val="en-US" w:eastAsia="zh-CN"/>
        </w:rPr>
        <w:t>7</w:t>
      </w:r>
      <w:r>
        <w:rPr>
          <w:rFonts w:hint="eastAsia" w:ascii="仿宋_GB2312" w:hAnsi="仿宋_GB2312" w:eastAsia="仿宋_GB2312" w:cs="仿宋_GB2312"/>
          <w:bCs/>
          <w:color w:val="auto"/>
          <w:kern w:val="44"/>
          <w:sz w:val="32"/>
          <w:szCs w:val="44"/>
        </w:rPr>
        <w:t>.3.1 启动条件</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00" w:lineRule="atLeas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（1）森林草原火</w:t>
      </w:r>
      <w:r>
        <w:rPr>
          <w:rFonts w:hint="eastAsia" w:ascii="仿宋_GB2312" w:hAnsi="仿宋_GB2312" w:eastAsia="仿宋_GB2312" w:cs="仿宋_GB2312"/>
          <w:i w:val="0"/>
          <w:iCs w:val="0"/>
          <w:caps w:val="0"/>
          <w:color w:val="auto"/>
          <w:spacing w:val="0"/>
          <w:sz w:val="32"/>
          <w:szCs w:val="32"/>
          <w:shd w:val="clear" w:color="auto" w:fill="FFFFFF"/>
          <w:lang w:val="en-US" w:eastAsia="zh-CN"/>
        </w:rPr>
        <w:t>灾</w:t>
      </w:r>
      <w:r>
        <w:rPr>
          <w:rFonts w:hint="eastAsia" w:ascii="仿宋_GB2312" w:hAnsi="仿宋_GB2312" w:eastAsia="仿宋_GB2312" w:cs="仿宋_GB2312"/>
          <w:i w:val="0"/>
          <w:iCs w:val="0"/>
          <w:caps w:val="0"/>
          <w:color w:val="auto"/>
          <w:spacing w:val="0"/>
          <w:sz w:val="32"/>
          <w:szCs w:val="32"/>
          <w:shd w:val="clear" w:color="auto" w:fill="FFFFFF"/>
        </w:rPr>
        <w:t>初判</w:t>
      </w:r>
      <w:r>
        <w:rPr>
          <w:rFonts w:hint="eastAsia" w:ascii="仿宋_GB2312" w:hAnsi="仿宋_GB2312" w:eastAsia="仿宋_GB2312" w:cs="仿宋_GB2312"/>
          <w:i w:val="0"/>
          <w:iCs w:val="0"/>
          <w:caps w:val="0"/>
          <w:color w:val="auto"/>
          <w:spacing w:val="0"/>
          <w:sz w:val="32"/>
          <w:szCs w:val="32"/>
          <w:shd w:val="clear" w:color="auto" w:fill="FFFFFF"/>
          <w:lang w:val="en-US" w:eastAsia="zh-CN"/>
        </w:rPr>
        <w:t>可能</w:t>
      </w:r>
      <w:r>
        <w:rPr>
          <w:rFonts w:hint="eastAsia" w:ascii="仿宋_GB2312" w:hAnsi="仿宋_GB2312" w:eastAsia="仿宋_GB2312" w:cs="仿宋_GB2312"/>
          <w:i w:val="0"/>
          <w:iCs w:val="0"/>
          <w:caps w:val="0"/>
          <w:color w:val="auto"/>
          <w:spacing w:val="0"/>
          <w:sz w:val="32"/>
          <w:szCs w:val="32"/>
          <w:shd w:val="clear" w:color="auto" w:fill="FFFFFF"/>
        </w:rPr>
        <w:t>达到重</w:t>
      </w:r>
      <w:r>
        <w:rPr>
          <w:rFonts w:hint="eastAsia" w:ascii="仿宋_GB2312" w:hAnsi="仿宋_GB2312" w:eastAsia="仿宋_GB2312" w:cs="仿宋_GB2312"/>
          <w:i w:val="0"/>
          <w:iCs w:val="0"/>
          <w:caps w:val="0"/>
          <w:color w:val="auto"/>
          <w:spacing w:val="0"/>
          <w:sz w:val="32"/>
          <w:szCs w:val="32"/>
          <w:shd w:val="clear" w:color="auto" w:fill="FFFFFF"/>
          <w:lang w:val="en-US" w:eastAsia="zh-CN"/>
        </w:rPr>
        <w:t>特</w:t>
      </w:r>
      <w:r>
        <w:rPr>
          <w:rFonts w:hint="eastAsia" w:ascii="仿宋_GB2312" w:hAnsi="仿宋_GB2312" w:eastAsia="仿宋_GB2312" w:cs="仿宋_GB2312"/>
          <w:i w:val="0"/>
          <w:iCs w:val="0"/>
          <w:caps w:val="0"/>
          <w:color w:val="auto"/>
          <w:spacing w:val="0"/>
          <w:sz w:val="32"/>
          <w:szCs w:val="32"/>
          <w:shd w:val="clear" w:color="auto" w:fill="FFFFFF"/>
        </w:rPr>
        <w:t>大森林草原火灾。</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2</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气象条件恶劣，火险等级高，扑救特别困难的过夜火；</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（3）受害面积较大且有继续蔓延趋势，难以控制的森林草原火灾；</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（4）超出区应急处置能力的森林草原火灾</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eastAsia="仿宋_GB2312"/>
          <w:color w:val="auto"/>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5</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危及居民点、自然保护区、重点林木区或重要设施的森林草原火灾。</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i w:val="0"/>
          <w:iCs w:val="0"/>
          <w:caps w:val="0"/>
          <w:color w:val="auto"/>
          <w:spacing w:val="0"/>
          <w:sz w:val="32"/>
          <w:szCs w:val="32"/>
          <w:shd w:val="clear" w:color="auto" w:fill="FFFFFF"/>
        </w:rPr>
        <w:t>符合上述条件之一时，</w:t>
      </w:r>
      <w:r>
        <w:rPr>
          <w:rFonts w:hint="eastAsia" w:ascii="仿宋_GB2312" w:hAnsi="仿宋_GB2312" w:eastAsia="仿宋_GB2312" w:cs="仿宋_GB2312"/>
          <w:i w:val="0"/>
          <w:iCs w:val="0"/>
          <w:caps w:val="0"/>
          <w:color w:val="auto"/>
          <w:spacing w:val="0"/>
          <w:sz w:val="32"/>
          <w:szCs w:val="32"/>
          <w:shd w:val="clear" w:color="auto" w:fill="FFFFFF"/>
          <w:lang w:val="en-US" w:eastAsia="zh-CN"/>
        </w:rPr>
        <w:t>区</w:t>
      </w:r>
      <w:r>
        <w:rPr>
          <w:rFonts w:hint="eastAsia" w:ascii="仿宋_GB2312" w:hAnsi="仿宋_GB2312" w:eastAsia="仿宋_GB2312" w:cs="仿宋_GB2312"/>
          <w:i w:val="0"/>
          <w:iCs w:val="0"/>
          <w:caps w:val="0"/>
          <w:color w:val="auto"/>
          <w:spacing w:val="0"/>
          <w:sz w:val="32"/>
          <w:szCs w:val="32"/>
          <w:shd w:val="clear" w:color="auto" w:fill="FFFFFF"/>
        </w:rPr>
        <w:t>森林草原防灭火指挥部启动</w:t>
      </w:r>
      <w:r>
        <w:rPr>
          <w:rFonts w:hint="eastAsia" w:ascii="仿宋_GB2312" w:hAnsi="仿宋_GB2312" w:eastAsia="仿宋_GB2312" w:cs="仿宋_GB2312"/>
          <w:i w:val="0"/>
          <w:iCs w:val="0"/>
          <w:caps w:val="0"/>
          <w:color w:val="auto"/>
          <w:spacing w:val="0"/>
          <w:sz w:val="32"/>
          <w:szCs w:val="32"/>
          <w:shd w:val="clear" w:color="auto" w:fill="FFFFFF"/>
          <w:lang w:val="en-US" w:eastAsia="zh-CN"/>
        </w:rPr>
        <w:t>Ⅰ</w:t>
      </w:r>
      <w:r>
        <w:rPr>
          <w:rFonts w:hint="eastAsia" w:ascii="仿宋_GB2312" w:hAnsi="仿宋_GB2312" w:eastAsia="仿宋_GB2312" w:cs="仿宋_GB2312"/>
          <w:i w:val="0"/>
          <w:iCs w:val="0"/>
          <w:caps w:val="0"/>
          <w:color w:val="auto"/>
          <w:spacing w:val="0"/>
          <w:sz w:val="32"/>
          <w:szCs w:val="32"/>
          <w:shd w:val="clear" w:color="auto" w:fill="FFFFFF"/>
        </w:rPr>
        <w:t>级应急响应。</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bCs/>
          <w:color w:val="auto"/>
          <w:kern w:val="44"/>
          <w:sz w:val="32"/>
          <w:szCs w:val="44"/>
        </w:rPr>
      </w:pPr>
      <w:r>
        <w:rPr>
          <w:rFonts w:hint="eastAsia" w:ascii="仿宋_GB2312" w:hAnsi="仿宋_GB2312" w:eastAsia="仿宋_GB2312" w:cs="仿宋_GB2312"/>
          <w:bCs/>
          <w:color w:val="auto"/>
          <w:kern w:val="44"/>
          <w:sz w:val="32"/>
          <w:szCs w:val="44"/>
          <w:lang w:val="en-US" w:eastAsia="zh-CN"/>
        </w:rPr>
        <w:t>7</w:t>
      </w:r>
      <w:r>
        <w:rPr>
          <w:rFonts w:hint="eastAsia" w:ascii="仿宋_GB2312" w:hAnsi="仿宋_GB2312" w:eastAsia="仿宋_GB2312" w:cs="仿宋_GB2312"/>
          <w:bCs/>
          <w:color w:val="auto"/>
          <w:kern w:val="44"/>
          <w:sz w:val="32"/>
          <w:szCs w:val="44"/>
        </w:rPr>
        <w:t>.3.2 响应措施</w:t>
      </w:r>
    </w:p>
    <w:p>
      <w:pPr>
        <w:pStyle w:val="12"/>
        <w:pageBreakBefore w:val="0"/>
        <w:widowControl w:val="0"/>
        <w:kinsoku/>
        <w:wordWrap/>
        <w:overflowPunct/>
        <w:topLinePunct w:val="0"/>
        <w:autoSpaceDE/>
        <w:autoSpaceDN/>
        <w:bidi w:val="0"/>
        <w:spacing w:beforeAutospacing="0" w:afterAutospacing="0" w:line="360" w:lineRule="auto"/>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在</w:t>
      </w:r>
      <w:r>
        <w:rPr>
          <w:rFonts w:hint="eastAsia" w:ascii="仿宋_GB2312" w:hAnsi="仿宋_GB2312" w:eastAsia="仿宋_GB2312" w:cs="仿宋_GB2312"/>
          <w:color w:val="auto"/>
          <w:kern w:val="2"/>
          <w:sz w:val="32"/>
          <w:szCs w:val="32"/>
          <w:lang w:val="en-US" w:eastAsia="zh-CN"/>
        </w:rPr>
        <w:t>Ⅱ</w:t>
      </w:r>
      <w:r>
        <w:rPr>
          <w:rFonts w:hint="eastAsia" w:ascii="仿宋_GB2312" w:hAnsi="仿宋_GB2312" w:eastAsia="仿宋_GB2312" w:cs="仿宋_GB2312"/>
          <w:color w:val="auto"/>
          <w:kern w:val="2"/>
          <w:sz w:val="32"/>
          <w:szCs w:val="32"/>
        </w:rPr>
        <w:t>级响应的基础上，加强以下措施：</w:t>
      </w:r>
    </w:p>
    <w:p>
      <w:pPr>
        <w:pStyle w:val="12"/>
        <w:pageBreakBefore w:val="0"/>
        <w:widowControl w:val="0"/>
        <w:kinsoku/>
        <w:wordWrap/>
        <w:overflowPunct/>
        <w:topLinePunct w:val="0"/>
        <w:autoSpaceDE/>
        <w:autoSpaceDN/>
        <w:bidi w:val="0"/>
        <w:spacing w:beforeAutospacing="0" w:afterAutospacing="0" w:line="360" w:lineRule="auto"/>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1</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区森防指总指挥组织有关成员单位开展火情会商，分析火险形势，研究扑救措施及保障工作；区</w:t>
      </w:r>
      <w:r>
        <w:rPr>
          <w:rFonts w:hint="eastAsia" w:ascii="仿宋_GB2312" w:hAnsi="仿宋_GB2312" w:eastAsia="仿宋_GB2312" w:cs="仿宋_GB2312"/>
          <w:color w:val="auto"/>
          <w:kern w:val="2"/>
          <w:sz w:val="32"/>
          <w:szCs w:val="32"/>
          <w:lang w:val="en-US" w:eastAsia="zh-CN"/>
        </w:rPr>
        <w:t>森防指</w:t>
      </w:r>
      <w:r>
        <w:rPr>
          <w:rFonts w:hint="eastAsia" w:ascii="仿宋_GB2312" w:hAnsi="仿宋_GB2312" w:eastAsia="仿宋_GB2312" w:cs="仿宋_GB2312"/>
          <w:color w:val="auto"/>
          <w:kern w:val="2"/>
          <w:sz w:val="32"/>
          <w:szCs w:val="32"/>
        </w:rPr>
        <w:t>会同有关部门和专家组成工作组赶赴火场，协调指挥火灾扑救工作。</w:t>
      </w:r>
    </w:p>
    <w:p>
      <w:pPr>
        <w:pStyle w:val="12"/>
        <w:pageBreakBefore w:val="0"/>
        <w:widowControl w:val="0"/>
        <w:kinsoku/>
        <w:wordWrap/>
        <w:overflowPunct/>
        <w:topLinePunct w:val="0"/>
        <w:autoSpaceDE/>
        <w:autoSpaceDN/>
        <w:bidi w:val="0"/>
        <w:spacing w:beforeAutospacing="0" w:afterAutospacing="0" w:line="360" w:lineRule="auto"/>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2</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根据</w:t>
      </w:r>
      <w:r>
        <w:rPr>
          <w:rFonts w:hint="eastAsia" w:ascii="仿宋_GB2312" w:hAnsi="仿宋_GB2312" w:eastAsia="仿宋_GB2312" w:cs="仿宋_GB2312"/>
          <w:color w:val="auto"/>
          <w:kern w:val="2"/>
          <w:sz w:val="32"/>
          <w:szCs w:val="32"/>
          <w:lang w:val="en-US" w:eastAsia="zh-CN"/>
        </w:rPr>
        <w:t>前线指挥部的</w:t>
      </w:r>
      <w:r>
        <w:rPr>
          <w:rFonts w:hint="eastAsia" w:ascii="仿宋_GB2312" w:hAnsi="仿宋_GB2312" w:eastAsia="仿宋_GB2312" w:cs="仿宋_GB2312"/>
          <w:color w:val="auto"/>
          <w:kern w:val="2"/>
          <w:sz w:val="32"/>
          <w:szCs w:val="32"/>
        </w:rPr>
        <w:t>请示，区</w:t>
      </w:r>
      <w:r>
        <w:rPr>
          <w:rFonts w:hint="eastAsia" w:ascii="仿宋_GB2312" w:hAnsi="仿宋_GB2312" w:eastAsia="仿宋_GB2312" w:cs="仿宋_GB2312"/>
          <w:color w:val="auto"/>
          <w:kern w:val="2"/>
          <w:sz w:val="32"/>
          <w:szCs w:val="32"/>
          <w:lang w:val="en-US" w:eastAsia="zh-CN"/>
        </w:rPr>
        <w:t>森</w:t>
      </w:r>
      <w:r>
        <w:rPr>
          <w:rFonts w:hint="eastAsia" w:ascii="仿宋_GB2312" w:hAnsi="仿宋_GB2312" w:eastAsia="仿宋_GB2312" w:cs="仿宋_GB2312"/>
          <w:color w:val="auto"/>
          <w:kern w:val="2"/>
          <w:sz w:val="32"/>
          <w:szCs w:val="32"/>
        </w:rPr>
        <w:t>防指调派消防救援大队、应急救援大队、各地区专业扑火队伍、</w:t>
      </w:r>
      <w:r>
        <w:rPr>
          <w:rFonts w:hint="eastAsia" w:ascii="仿宋_GB2312" w:hAnsi="仿宋_GB2312" w:eastAsia="仿宋_GB2312" w:cs="仿宋_GB2312"/>
          <w:color w:val="auto"/>
          <w:kern w:val="0"/>
          <w:sz w:val="32"/>
          <w:szCs w:val="32"/>
        </w:rPr>
        <w:t>森林消防特勤大队</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2"/>
          <w:sz w:val="32"/>
          <w:szCs w:val="32"/>
        </w:rPr>
        <w:t>武警部队、解放军、民兵预备役部队以及调配消防车等大型消防装备参与扑救，跨区域支援。必要时，请求呼和浩特市支援。</w:t>
      </w:r>
    </w:p>
    <w:p>
      <w:pPr>
        <w:pStyle w:val="12"/>
        <w:pageBreakBefore w:val="0"/>
        <w:widowControl w:val="0"/>
        <w:kinsoku/>
        <w:wordWrap/>
        <w:overflowPunct/>
        <w:topLinePunct w:val="0"/>
        <w:autoSpaceDE/>
        <w:autoSpaceDN/>
        <w:bidi w:val="0"/>
        <w:spacing w:beforeAutospacing="0" w:afterAutospacing="0" w:line="360" w:lineRule="auto"/>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3</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根据实际情况，协调做好扑火物资调拨、交通运输、卫生应急队伍增援等工作。</w:t>
      </w:r>
    </w:p>
    <w:p>
      <w:pPr>
        <w:pStyle w:val="12"/>
        <w:pageBreakBefore w:val="0"/>
        <w:widowControl w:val="0"/>
        <w:kinsoku/>
        <w:wordWrap/>
        <w:overflowPunct/>
        <w:topLinePunct w:val="0"/>
        <w:autoSpaceDE/>
        <w:autoSpaceDN/>
        <w:bidi w:val="0"/>
        <w:spacing w:beforeAutospacing="0" w:afterAutospacing="0" w:line="360" w:lineRule="auto"/>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4</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当居民点、人员密集区受到森林草原火灾威胁时，及时采取有效阻火措施，制定紧急疏散方案，有组织、有秩序地及时疏散居民、受威胁人员，确保人民群众生命安全，妥善做好转移群众安置工作。</w:t>
      </w:r>
    </w:p>
    <w:p>
      <w:pPr>
        <w:pStyle w:val="12"/>
        <w:pageBreakBefore w:val="0"/>
        <w:widowControl w:val="0"/>
        <w:kinsoku/>
        <w:wordWrap/>
        <w:overflowPunct/>
        <w:topLinePunct w:val="0"/>
        <w:autoSpaceDE/>
        <w:autoSpaceDN/>
        <w:bidi w:val="0"/>
        <w:spacing w:beforeAutospacing="0" w:afterAutospacing="0" w:line="360" w:lineRule="auto"/>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5</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视情派出卫生应急队伍赶赴火灾发生地，成立临时医院或医疗点，实施现场救治。</w:t>
      </w:r>
    </w:p>
    <w:p>
      <w:pPr>
        <w:pStyle w:val="12"/>
        <w:pageBreakBefore w:val="0"/>
        <w:widowControl w:val="0"/>
        <w:kinsoku/>
        <w:wordWrap/>
        <w:overflowPunct/>
        <w:topLinePunct w:val="0"/>
        <w:autoSpaceDE/>
        <w:autoSpaceDN/>
        <w:bidi w:val="0"/>
        <w:spacing w:beforeAutospacing="0" w:afterAutospacing="0" w:line="360" w:lineRule="auto"/>
        <w:ind w:firstLine="640" w:firstLineChars="200"/>
        <w:textAlignment w:val="auto"/>
        <w:rPr>
          <w:rFonts w:ascii="宋体" w:hAnsi="宋体" w:eastAsia="仿宋_GB2312" w:cstheme="minorBidi"/>
          <w:color w:val="auto"/>
          <w:kern w:val="2"/>
          <w:sz w:val="32"/>
          <w:szCs w:val="32"/>
        </w:rPr>
      </w:pPr>
      <w:r>
        <w:rPr>
          <w:rFonts w:hint="eastAsia" w:ascii="宋体" w:hAnsi="宋体" w:eastAsia="仿宋_GB2312" w:cstheme="minorBidi"/>
          <w:color w:val="auto"/>
          <w:kern w:val="2"/>
          <w:sz w:val="32"/>
          <w:szCs w:val="32"/>
          <w:lang w:eastAsia="zh-CN"/>
        </w:rPr>
        <w:t>（</w:t>
      </w:r>
      <w:r>
        <w:rPr>
          <w:rFonts w:hint="eastAsia" w:ascii="宋体" w:hAnsi="宋体" w:eastAsia="仿宋_GB2312" w:cstheme="minorBidi"/>
          <w:color w:val="auto"/>
          <w:kern w:val="2"/>
          <w:sz w:val="32"/>
          <w:szCs w:val="32"/>
          <w:lang w:val="en-US" w:eastAsia="zh-CN"/>
        </w:rPr>
        <w:t>6</w:t>
      </w:r>
      <w:r>
        <w:rPr>
          <w:rFonts w:hint="eastAsia" w:ascii="宋体" w:hAnsi="宋体" w:eastAsia="仿宋_GB2312" w:cstheme="minorBidi"/>
          <w:color w:val="auto"/>
          <w:kern w:val="2"/>
          <w:sz w:val="32"/>
          <w:szCs w:val="32"/>
          <w:lang w:eastAsia="zh-CN"/>
        </w:rPr>
        <w:t>）</w:t>
      </w:r>
      <w:r>
        <w:rPr>
          <w:rFonts w:hint="eastAsia" w:ascii="宋体" w:hAnsi="宋体" w:eastAsia="仿宋_GB2312" w:cstheme="minorBidi"/>
          <w:color w:val="auto"/>
          <w:kern w:val="2"/>
          <w:sz w:val="32"/>
          <w:szCs w:val="32"/>
        </w:rPr>
        <w:t>根据实际情况，安排生活救助物资，增派卫生应急队伍，协调实施跨区域转移受威胁群众。</w:t>
      </w:r>
    </w:p>
    <w:p>
      <w:pPr>
        <w:ind w:firstLine="640" w:firstLineChars="200"/>
        <w:rPr>
          <w:rFonts w:hint="eastAsia"/>
          <w:color w:val="auto"/>
        </w:rPr>
      </w:pPr>
      <w:r>
        <w:rPr>
          <w:rFonts w:hint="eastAsia" w:ascii="宋体" w:hAnsi="宋体" w:eastAsia="仿宋_GB2312" w:cstheme="minorBidi"/>
          <w:color w:val="auto"/>
          <w:kern w:val="2"/>
          <w:sz w:val="32"/>
          <w:szCs w:val="32"/>
          <w:lang w:eastAsia="zh-CN"/>
        </w:rPr>
        <w:t>（</w:t>
      </w:r>
      <w:r>
        <w:rPr>
          <w:rFonts w:hint="eastAsia" w:ascii="宋体" w:hAnsi="宋体" w:eastAsia="仿宋_GB2312" w:cstheme="minorBidi"/>
          <w:color w:val="auto"/>
          <w:kern w:val="2"/>
          <w:sz w:val="32"/>
          <w:szCs w:val="32"/>
          <w:lang w:val="en-US" w:eastAsia="zh-CN"/>
        </w:rPr>
        <w:t>7</w:t>
      </w:r>
      <w:r>
        <w:rPr>
          <w:rFonts w:hint="eastAsia" w:ascii="宋体" w:hAnsi="宋体" w:eastAsia="仿宋_GB2312" w:cstheme="minorBidi"/>
          <w:color w:val="auto"/>
          <w:kern w:val="2"/>
          <w:sz w:val="32"/>
          <w:szCs w:val="32"/>
          <w:lang w:eastAsia="zh-CN"/>
        </w:rPr>
        <w:t>）</w:t>
      </w:r>
      <w:r>
        <w:rPr>
          <w:rFonts w:hint="eastAsia" w:ascii="宋体" w:hAnsi="宋体" w:eastAsia="仿宋_GB2312" w:cstheme="minorBidi"/>
          <w:color w:val="auto"/>
          <w:kern w:val="2"/>
          <w:sz w:val="32"/>
          <w:szCs w:val="32"/>
        </w:rPr>
        <w:t>组织通信、电力、铁路、交通、民航等部门，保障应急通信、电力、救援人员和物资交通运输畅通</w:t>
      </w:r>
    </w:p>
    <w:p>
      <w:pPr>
        <w:pStyle w:val="12"/>
        <w:pageBreakBefore w:val="0"/>
        <w:widowControl w:val="0"/>
        <w:kinsoku/>
        <w:wordWrap/>
        <w:overflowPunct/>
        <w:topLinePunct w:val="0"/>
        <w:autoSpaceDE/>
        <w:autoSpaceDN/>
        <w:bidi w:val="0"/>
        <w:spacing w:beforeAutospacing="0" w:afterAutospacing="0" w:line="360" w:lineRule="auto"/>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8</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维护社会治安。加强森林草原火灾受影响区域的社会治安管理，严厉打击借机盗窃、抢劫、哄抢救灾物资、传播谣言等违法犯罪行为。有关部门在金融单位、储备仓库等重要场所加强治安巡逻，维护社会稳定。</w:t>
      </w:r>
    </w:p>
    <w:p>
      <w:pPr>
        <w:pStyle w:val="12"/>
        <w:pageBreakBefore w:val="0"/>
        <w:widowControl w:val="0"/>
        <w:kinsoku/>
        <w:wordWrap/>
        <w:overflowPunct/>
        <w:topLinePunct w:val="0"/>
        <w:autoSpaceDE/>
        <w:autoSpaceDN/>
        <w:bidi w:val="0"/>
        <w:spacing w:beforeAutospacing="0" w:afterAutospacing="0" w:line="360" w:lineRule="auto"/>
        <w:ind w:firstLine="640" w:firstLineChars="200"/>
        <w:textAlignment w:val="auto"/>
        <w:rPr>
          <w:rFonts w:hint="eastAsia"/>
          <w:color w:val="auto"/>
        </w:rPr>
      </w:pPr>
      <w:r>
        <w:rPr>
          <w:rFonts w:hint="eastAsia" w:ascii="宋体" w:hAnsi="宋体" w:eastAsia="仿宋_GB2312" w:cstheme="minorBidi"/>
          <w:color w:val="auto"/>
          <w:kern w:val="2"/>
          <w:sz w:val="32"/>
          <w:szCs w:val="32"/>
          <w:lang w:eastAsia="zh-CN"/>
        </w:rPr>
        <w:t>（</w:t>
      </w:r>
      <w:r>
        <w:rPr>
          <w:rFonts w:hint="eastAsia" w:ascii="宋体" w:hAnsi="宋体" w:eastAsia="仿宋_GB2312" w:cstheme="minorBidi"/>
          <w:color w:val="auto"/>
          <w:kern w:val="2"/>
          <w:sz w:val="32"/>
          <w:szCs w:val="32"/>
          <w:lang w:val="en-US" w:eastAsia="zh-CN"/>
        </w:rPr>
        <w:t>9</w:t>
      </w:r>
      <w:r>
        <w:rPr>
          <w:rFonts w:hint="eastAsia" w:ascii="宋体" w:hAnsi="宋体" w:eastAsia="仿宋_GB2312" w:cstheme="minorBidi"/>
          <w:color w:val="auto"/>
          <w:kern w:val="2"/>
          <w:sz w:val="32"/>
          <w:szCs w:val="32"/>
          <w:lang w:eastAsia="zh-CN"/>
        </w:rPr>
        <w:t>）</w:t>
      </w:r>
      <w:r>
        <w:rPr>
          <w:rFonts w:hint="eastAsia" w:ascii="宋体" w:hAnsi="宋体" w:eastAsia="仿宋_GB2312" w:cstheme="minorBidi"/>
          <w:color w:val="auto"/>
          <w:kern w:val="2"/>
          <w:sz w:val="32"/>
          <w:szCs w:val="32"/>
        </w:rPr>
        <w:t>进一步加强气象服务，加强航空火情监测，加强人工影响天气作业。</w:t>
      </w:r>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outlineLvl w:val="1"/>
        <w:rPr>
          <w:rFonts w:hint="eastAsia" w:ascii="黑体" w:eastAsia="黑体"/>
          <w:bCs/>
          <w:color w:val="auto"/>
          <w:kern w:val="44"/>
          <w:sz w:val="32"/>
          <w:szCs w:val="44"/>
          <w:lang w:val="en-US" w:eastAsia="zh-CN"/>
        </w:rPr>
      </w:pPr>
      <w:bookmarkStart w:id="159" w:name="_Toc9408"/>
      <w:r>
        <w:rPr>
          <w:rFonts w:hint="eastAsia" w:ascii="黑体" w:eastAsia="黑体"/>
          <w:bCs/>
          <w:color w:val="auto"/>
          <w:kern w:val="44"/>
          <w:sz w:val="32"/>
          <w:szCs w:val="44"/>
          <w:lang w:val="en-US" w:eastAsia="zh-CN"/>
        </w:rPr>
        <w:t>7.4 启动条件调整</w:t>
      </w:r>
      <w:bookmarkEnd w:id="159"/>
    </w:p>
    <w:p>
      <w:pPr>
        <w:keepNext w:val="0"/>
        <w:keepLines w:val="0"/>
        <w:pageBreakBefore w:val="0"/>
        <w:widowControl w:val="0"/>
        <w:kinsoku/>
        <w:wordWrap/>
        <w:overflowPunct/>
        <w:topLinePunct w:val="0"/>
        <w:autoSpaceDE/>
        <w:autoSpaceDN/>
        <w:bidi w:val="0"/>
        <w:snapToGrid/>
        <w:spacing w:line="360" w:lineRule="auto"/>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根据森林草原火灾发生的地区、时间敏感程度，受害森林草原资源损失程度，经济、社会影响程度，启动</w:t>
      </w: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rPr>
        <w:t>森林草原火灾应急响应的标准可酌情调整。</w:t>
      </w:r>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outlineLvl w:val="1"/>
        <w:rPr>
          <w:rFonts w:hint="eastAsia" w:ascii="黑体" w:eastAsia="黑体"/>
          <w:bCs/>
          <w:color w:val="auto"/>
          <w:kern w:val="44"/>
          <w:sz w:val="32"/>
          <w:szCs w:val="44"/>
          <w:lang w:val="en-US" w:eastAsia="zh-CN"/>
        </w:rPr>
      </w:pPr>
      <w:bookmarkStart w:id="160" w:name="_Toc14273"/>
      <w:r>
        <w:rPr>
          <w:rFonts w:hint="eastAsia" w:ascii="黑体" w:eastAsia="黑体"/>
          <w:bCs/>
          <w:color w:val="auto"/>
          <w:kern w:val="44"/>
          <w:sz w:val="32"/>
          <w:szCs w:val="44"/>
          <w:lang w:val="en-US" w:eastAsia="zh-CN"/>
        </w:rPr>
        <w:t>7.5 响应终止</w:t>
      </w:r>
      <w:bookmarkEnd w:id="160"/>
    </w:p>
    <w:p>
      <w:pPr>
        <w:keepNext w:val="0"/>
        <w:keepLines w:val="0"/>
        <w:pageBreakBefore w:val="0"/>
        <w:widowControl w:val="0"/>
        <w:kinsoku/>
        <w:wordWrap/>
        <w:overflowPunct/>
        <w:topLinePunct w:val="0"/>
        <w:autoSpaceDE/>
        <w:autoSpaceDN/>
        <w:bidi w:val="0"/>
        <w:snapToGrid/>
        <w:spacing w:line="360" w:lineRule="auto"/>
        <w:ind w:firstLine="640" w:firstLineChars="200"/>
        <w:jc w:val="both"/>
        <w:textAlignment w:val="auto"/>
        <w:rPr>
          <w:color w:val="auto"/>
        </w:rPr>
      </w:pPr>
      <w:r>
        <w:rPr>
          <w:rFonts w:hint="eastAsia" w:ascii="仿宋_GB2312" w:hAnsi="仿宋_GB2312" w:eastAsia="仿宋_GB2312" w:cs="仿宋_GB2312"/>
          <w:color w:val="auto"/>
          <w:kern w:val="0"/>
          <w:sz w:val="32"/>
          <w:szCs w:val="32"/>
        </w:rPr>
        <w:t>森林草原火灾扑救工作结束后，由</w:t>
      </w: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rPr>
        <w:t>森防指办公室提出建议，按启动响应的相应权限终止响应。</w:t>
      </w:r>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outlineLvl w:val="0"/>
        <w:rPr>
          <w:rFonts w:hint="eastAsia" w:ascii="黑体" w:eastAsia="黑体"/>
          <w:bCs/>
          <w:color w:val="auto"/>
          <w:kern w:val="44"/>
          <w:sz w:val="32"/>
          <w:szCs w:val="44"/>
          <w:lang w:val="en-US" w:eastAsia="zh-CN"/>
        </w:rPr>
      </w:pPr>
      <w:bookmarkStart w:id="161" w:name="_Toc5306"/>
      <w:bookmarkStart w:id="162" w:name="_Toc22115"/>
      <w:bookmarkStart w:id="163" w:name="_Toc309"/>
      <w:r>
        <w:rPr>
          <w:rFonts w:hint="eastAsia" w:ascii="黑体" w:eastAsia="黑体"/>
          <w:bCs/>
          <w:color w:val="auto"/>
          <w:kern w:val="44"/>
          <w:sz w:val="32"/>
          <w:szCs w:val="44"/>
          <w:lang w:val="en-US" w:eastAsia="zh-CN"/>
        </w:rPr>
        <w:t>8 后期处置</w:t>
      </w:r>
      <w:bookmarkEnd w:id="161"/>
      <w:bookmarkEnd w:id="162"/>
      <w:bookmarkEnd w:id="163"/>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outlineLvl w:val="1"/>
        <w:rPr>
          <w:rFonts w:hint="eastAsia" w:ascii="黑体" w:eastAsia="黑体"/>
          <w:bCs/>
          <w:color w:val="auto"/>
          <w:kern w:val="44"/>
          <w:sz w:val="32"/>
          <w:szCs w:val="44"/>
          <w:lang w:val="en-US" w:eastAsia="zh-CN"/>
        </w:rPr>
      </w:pPr>
      <w:bookmarkStart w:id="164" w:name="_Toc6971"/>
      <w:bookmarkStart w:id="165" w:name="_Toc21218"/>
      <w:bookmarkStart w:id="166" w:name="_Toc32155"/>
      <w:r>
        <w:rPr>
          <w:rFonts w:hint="eastAsia" w:ascii="黑体" w:eastAsia="黑体"/>
          <w:bCs/>
          <w:color w:val="auto"/>
          <w:kern w:val="44"/>
          <w:sz w:val="32"/>
          <w:szCs w:val="44"/>
          <w:lang w:val="en-US" w:eastAsia="zh-CN"/>
        </w:rPr>
        <w:t>8.1 火灾评估</w:t>
      </w:r>
      <w:bookmarkEnd w:id="164"/>
      <w:bookmarkEnd w:id="165"/>
      <w:bookmarkEnd w:id="166"/>
    </w:p>
    <w:p>
      <w:pPr>
        <w:pStyle w:val="12"/>
        <w:pageBreakBefore w:val="0"/>
        <w:widowControl w:val="0"/>
        <w:kinsoku/>
        <w:wordWrap/>
        <w:overflowPunct/>
        <w:topLinePunct w:val="0"/>
        <w:autoSpaceDE/>
        <w:autoSpaceDN/>
        <w:bidi w:val="0"/>
        <w:spacing w:beforeAutospacing="0" w:afterAutospacing="0" w:line="360" w:lineRule="auto"/>
        <w:ind w:firstLine="640" w:firstLineChars="200"/>
        <w:jc w:val="both"/>
        <w:textAlignment w:val="auto"/>
        <w:rPr>
          <w:rFonts w:ascii="宋体" w:hAnsi="宋体" w:eastAsia="仿宋_GB2312" w:cstheme="minorBidi"/>
          <w:color w:val="auto"/>
          <w:kern w:val="2"/>
          <w:sz w:val="32"/>
          <w:szCs w:val="32"/>
        </w:rPr>
      </w:pPr>
      <w:r>
        <w:rPr>
          <w:rFonts w:hint="eastAsia" w:ascii="宋体" w:hAnsi="宋体" w:eastAsia="仿宋_GB2312" w:cstheme="minorBidi"/>
          <w:color w:val="auto"/>
          <w:kern w:val="2"/>
          <w:sz w:val="32"/>
          <w:szCs w:val="32"/>
        </w:rPr>
        <w:t>区应急管理</w:t>
      </w:r>
      <w:r>
        <w:rPr>
          <w:rFonts w:hint="eastAsia" w:ascii="宋体" w:hAnsi="宋体" w:eastAsia="仿宋_GB2312" w:cstheme="minorBidi"/>
          <w:color w:val="auto"/>
          <w:kern w:val="2"/>
          <w:sz w:val="32"/>
          <w:szCs w:val="32"/>
          <w:lang w:val="en-US" w:eastAsia="zh-CN"/>
        </w:rPr>
        <w:t>局</w:t>
      </w:r>
      <w:r>
        <w:rPr>
          <w:rFonts w:hint="eastAsia" w:ascii="宋体" w:hAnsi="宋体" w:eastAsia="仿宋_GB2312" w:cstheme="minorBidi"/>
          <w:color w:val="auto"/>
          <w:kern w:val="2"/>
          <w:sz w:val="32"/>
          <w:szCs w:val="32"/>
        </w:rPr>
        <w:t>应当会同</w:t>
      </w:r>
      <w:r>
        <w:rPr>
          <w:rFonts w:hint="eastAsia" w:ascii="宋体" w:hAnsi="宋体" w:eastAsia="仿宋_GB2312" w:cstheme="minorBidi"/>
          <w:color w:val="auto"/>
          <w:kern w:val="2"/>
          <w:sz w:val="32"/>
          <w:szCs w:val="32"/>
          <w:lang w:val="en-US" w:eastAsia="zh-CN"/>
        </w:rPr>
        <w:t>公安分局、林业和草原分局、农牧水利局</w:t>
      </w:r>
      <w:r>
        <w:rPr>
          <w:rFonts w:hint="eastAsia" w:ascii="宋体" w:hAnsi="宋体" w:eastAsia="仿宋_GB2312" w:cstheme="minorBidi"/>
          <w:color w:val="auto"/>
          <w:kern w:val="2"/>
          <w:sz w:val="32"/>
          <w:szCs w:val="32"/>
        </w:rPr>
        <w:t>及时对森林草原火灾发生原因、肇事者、受害森林草原面积和蓄积、人员伤亡、其他经济损失等情况进行调查和评估，向</w:t>
      </w:r>
      <w:r>
        <w:rPr>
          <w:rFonts w:hint="eastAsia" w:ascii="宋体" w:hAnsi="宋体" w:eastAsia="仿宋_GB2312" w:cstheme="minorBidi"/>
          <w:color w:val="auto"/>
          <w:kern w:val="2"/>
          <w:sz w:val="32"/>
          <w:szCs w:val="32"/>
          <w:lang w:val="en-US" w:eastAsia="zh-CN"/>
        </w:rPr>
        <w:t>区</w:t>
      </w:r>
      <w:r>
        <w:rPr>
          <w:rFonts w:hint="eastAsia" w:ascii="宋体" w:hAnsi="宋体" w:eastAsia="仿宋_GB2312" w:cstheme="minorBidi"/>
          <w:color w:val="auto"/>
          <w:kern w:val="2"/>
          <w:sz w:val="32"/>
          <w:szCs w:val="32"/>
        </w:rPr>
        <w:t>政府提交评估报告。森林草原火灾损失评估标准，按照国家制定的标准执行。</w:t>
      </w:r>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outlineLvl w:val="1"/>
        <w:rPr>
          <w:rFonts w:hint="eastAsia" w:ascii="黑体" w:eastAsia="黑体"/>
          <w:bCs/>
          <w:color w:val="auto"/>
          <w:kern w:val="44"/>
          <w:sz w:val="32"/>
          <w:szCs w:val="44"/>
          <w:lang w:val="en-US" w:eastAsia="zh-CN"/>
        </w:rPr>
      </w:pPr>
      <w:bookmarkStart w:id="167" w:name="_Toc5433"/>
      <w:bookmarkStart w:id="168" w:name="_Toc6873"/>
      <w:bookmarkStart w:id="169" w:name="_Toc13162"/>
      <w:r>
        <w:rPr>
          <w:rFonts w:hint="eastAsia" w:ascii="黑体" w:eastAsia="黑体"/>
          <w:bCs/>
          <w:color w:val="auto"/>
          <w:kern w:val="44"/>
          <w:sz w:val="32"/>
          <w:szCs w:val="44"/>
          <w:lang w:val="en-US" w:eastAsia="zh-CN"/>
        </w:rPr>
        <w:t>8.2 工作总结</w:t>
      </w:r>
      <w:bookmarkEnd w:id="167"/>
      <w:bookmarkEnd w:id="168"/>
      <w:bookmarkEnd w:id="169"/>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ascii="宋体" w:hAnsi="宋体" w:eastAsia="仿宋_GB2312" w:cstheme="minorBidi"/>
          <w:color w:val="auto"/>
          <w:kern w:val="2"/>
          <w:sz w:val="32"/>
          <w:szCs w:val="32"/>
        </w:rPr>
      </w:pPr>
      <w:r>
        <w:rPr>
          <w:rFonts w:hint="eastAsia" w:ascii="宋体" w:hAnsi="宋体" w:eastAsia="仿宋_GB2312" w:cstheme="minorBidi"/>
          <w:color w:val="auto"/>
          <w:kern w:val="2"/>
          <w:sz w:val="32"/>
          <w:szCs w:val="32"/>
        </w:rPr>
        <w:t>各级森林草原防灭火指挥</w:t>
      </w:r>
      <w:r>
        <w:rPr>
          <w:rFonts w:hint="eastAsia" w:ascii="宋体" w:hAnsi="宋体" w:eastAsia="仿宋_GB2312" w:cstheme="minorBidi"/>
          <w:color w:val="auto"/>
          <w:kern w:val="2"/>
          <w:sz w:val="32"/>
          <w:szCs w:val="32"/>
          <w:lang w:val="en-US" w:eastAsia="zh-CN"/>
        </w:rPr>
        <w:t>部</w:t>
      </w:r>
      <w:r>
        <w:rPr>
          <w:rFonts w:hint="eastAsia" w:ascii="宋体" w:hAnsi="宋体" w:eastAsia="仿宋_GB2312" w:cstheme="minorBidi"/>
          <w:color w:val="auto"/>
          <w:kern w:val="2"/>
          <w:sz w:val="32"/>
          <w:szCs w:val="32"/>
        </w:rPr>
        <w:t>及时总结、分析火灾发生的原因和应吸取的教训，提出改进措施。重大、特别重大森林草原火灾扑救工作结束后，区森防指向区政府、市森林草原防灭火指挥部报送火灾扑救工作总结。</w:t>
      </w:r>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outlineLvl w:val="1"/>
        <w:rPr>
          <w:rFonts w:hint="eastAsia" w:ascii="黑体" w:eastAsia="黑体"/>
          <w:bCs/>
          <w:color w:val="auto"/>
          <w:kern w:val="44"/>
          <w:sz w:val="32"/>
          <w:szCs w:val="44"/>
          <w:lang w:val="en-US" w:eastAsia="zh-CN"/>
        </w:rPr>
      </w:pPr>
      <w:bookmarkStart w:id="170" w:name="_Toc5678"/>
      <w:bookmarkStart w:id="171" w:name="_Toc14414"/>
      <w:bookmarkStart w:id="172" w:name="_Toc7143"/>
      <w:r>
        <w:rPr>
          <w:rFonts w:hint="eastAsia" w:ascii="黑体" w:eastAsia="黑体"/>
          <w:bCs/>
          <w:color w:val="auto"/>
          <w:kern w:val="44"/>
          <w:sz w:val="32"/>
          <w:szCs w:val="44"/>
          <w:lang w:val="en-US" w:eastAsia="zh-CN"/>
        </w:rPr>
        <w:t>8.3 奖励与责任追究</w:t>
      </w:r>
      <w:bookmarkEnd w:id="170"/>
      <w:bookmarkEnd w:id="171"/>
      <w:bookmarkEnd w:id="172"/>
    </w:p>
    <w:p>
      <w:pPr>
        <w:pStyle w:val="12"/>
        <w:pageBreakBefore w:val="0"/>
        <w:widowControl w:val="0"/>
        <w:kinsoku/>
        <w:wordWrap/>
        <w:overflowPunct/>
        <w:topLinePunct w:val="0"/>
        <w:autoSpaceDE/>
        <w:autoSpaceDN/>
        <w:bidi w:val="0"/>
        <w:spacing w:beforeAutospacing="0" w:afterAutospacing="0" w:line="360" w:lineRule="auto"/>
        <w:ind w:firstLine="640" w:firstLineChars="200"/>
        <w:jc w:val="both"/>
        <w:textAlignment w:val="auto"/>
        <w:rPr>
          <w:rFonts w:ascii="宋体" w:hAnsi="宋体" w:eastAsia="仿宋_GB2312" w:cstheme="minorBidi"/>
          <w:color w:val="auto"/>
          <w:kern w:val="2"/>
          <w:sz w:val="32"/>
          <w:szCs w:val="32"/>
        </w:rPr>
      </w:pPr>
      <w:r>
        <w:rPr>
          <w:rFonts w:hint="eastAsia" w:ascii="宋体" w:hAnsi="宋体" w:eastAsia="仿宋_GB2312" w:cstheme="minorBidi"/>
          <w:color w:val="auto"/>
          <w:kern w:val="2"/>
          <w:sz w:val="32"/>
          <w:szCs w:val="32"/>
        </w:rPr>
        <w:t>根据有关法律法规，对在扑火工作中贡献突出的单位和个人给予表彰和奖励，对在火灾事故中负有责任的人员追究责任。对扑火工作中牺牲人员符合评定烈士条件的，按有关规定办理。</w:t>
      </w:r>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outlineLvl w:val="0"/>
        <w:rPr>
          <w:rFonts w:hint="eastAsia" w:ascii="黑体" w:eastAsia="黑体"/>
          <w:bCs/>
          <w:color w:val="auto"/>
          <w:kern w:val="44"/>
          <w:sz w:val="32"/>
          <w:szCs w:val="44"/>
          <w:lang w:val="en-US" w:eastAsia="zh-CN"/>
        </w:rPr>
      </w:pPr>
      <w:bookmarkStart w:id="173" w:name="_Toc24515"/>
      <w:bookmarkStart w:id="174" w:name="_Toc12082"/>
      <w:r>
        <w:rPr>
          <w:rFonts w:hint="eastAsia" w:ascii="黑体" w:eastAsia="黑体"/>
          <w:bCs/>
          <w:color w:val="auto"/>
          <w:kern w:val="44"/>
          <w:sz w:val="32"/>
          <w:szCs w:val="44"/>
          <w:lang w:val="en-US" w:eastAsia="zh-CN"/>
        </w:rPr>
        <w:t>9 综合保障</w:t>
      </w:r>
      <w:bookmarkEnd w:id="173"/>
      <w:bookmarkEnd w:id="174"/>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outlineLvl w:val="1"/>
        <w:rPr>
          <w:rFonts w:hint="eastAsia" w:ascii="黑体" w:eastAsia="黑体"/>
          <w:bCs/>
          <w:color w:val="auto"/>
          <w:kern w:val="44"/>
          <w:sz w:val="32"/>
          <w:szCs w:val="44"/>
          <w:lang w:val="en-US" w:eastAsia="zh-CN"/>
        </w:rPr>
      </w:pPr>
      <w:bookmarkStart w:id="175" w:name="_Toc10981"/>
      <w:bookmarkStart w:id="176" w:name="_Toc19442"/>
      <w:bookmarkStart w:id="177" w:name="_Toc4171"/>
      <w:r>
        <w:rPr>
          <w:rFonts w:hint="eastAsia" w:ascii="黑体" w:eastAsia="黑体"/>
          <w:bCs/>
          <w:color w:val="auto"/>
          <w:kern w:val="44"/>
          <w:sz w:val="32"/>
          <w:szCs w:val="44"/>
          <w:lang w:val="en-US" w:eastAsia="zh-CN"/>
        </w:rPr>
        <w:t>9.1 队伍保障</w:t>
      </w:r>
      <w:bookmarkEnd w:id="175"/>
      <w:bookmarkEnd w:id="176"/>
      <w:bookmarkEnd w:id="177"/>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ascii="宋体" w:hAnsi="宋体" w:eastAsia="仿宋_GB2312" w:cstheme="minorBidi"/>
          <w:color w:val="auto"/>
          <w:kern w:val="2"/>
          <w:sz w:val="32"/>
          <w:szCs w:val="32"/>
        </w:rPr>
      </w:pPr>
      <w:r>
        <w:rPr>
          <w:rFonts w:hint="eastAsia" w:ascii="宋体" w:hAnsi="宋体" w:eastAsia="仿宋_GB2312" w:cstheme="minorBidi"/>
          <w:color w:val="auto"/>
          <w:kern w:val="2"/>
          <w:sz w:val="32"/>
          <w:szCs w:val="32"/>
        </w:rPr>
        <w:t>扑救森林草原火灾以专业扑火队伍、森林消防</w:t>
      </w:r>
      <w:r>
        <w:rPr>
          <w:rFonts w:hint="eastAsia" w:ascii="宋体" w:hAnsi="宋体" w:eastAsia="仿宋_GB2312" w:cstheme="minorBidi"/>
          <w:color w:val="auto"/>
          <w:kern w:val="2"/>
          <w:sz w:val="32"/>
          <w:szCs w:val="32"/>
          <w:lang w:val="en-US" w:eastAsia="zh-CN"/>
        </w:rPr>
        <w:t>救援</w:t>
      </w:r>
      <w:r>
        <w:rPr>
          <w:rFonts w:hint="eastAsia" w:ascii="宋体" w:hAnsi="宋体" w:eastAsia="仿宋_GB2312" w:cstheme="minorBidi"/>
          <w:color w:val="auto"/>
          <w:kern w:val="2"/>
          <w:sz w:val="32"/>
          <w:szCs w:val="32"/>
        </w:rPr>
        <w:t>队伍</w:t>
      </w:r>
      <w:r>
        <w:rPr>
          <w:rFonts w:hint="eastAsia" w:ascii="宋体" w:hAnsi="宋体" w:eastAsia="仿宋_GB2312" w:cstheme="minorBidi"/>
          <w:color w:val="auto"/>
          <w:kern w:val="2"/>
          <w:sz w:val="32"/>
          <w:szCs w:val="32"/>
          <w:lang w:eastAsia="zh-CN"/>
        </w:rPr>
        <w:t>、</w:t>
      </w:r>
      <w:r>
        <w:rPr>
          <w:rFonts w:hint="eastAsia" w:ascii="仿宋_GB2312" w:hAnsi="仿宋_GB2312" w:eastAsia="仿宋_GB2312" w:cs="仿宋_GB2312"/>
          <w:color w:val="auto"/>
          <w:kern w:val="0"/>
          <w:sz w:val="32"/>
          <w:szCs w:val="32"/>
        </w:rPr>
        <w:t>森林消防特勤大队</w:t>
      </w:r>
      <w:r>
        <w:rPr>
          <w:rFonts w:hint="eastAsia" w:ascii="宋体" w:hAnsi="宋体" w:eastAsia="仿宋_GB2312" w:cstheme="minorBidi"/>
          <w:color w:val="auto"/>
          <w:kern w:val="2"/>
          <w:sz w:val="32"/>
          <w:szCs w:val="32"/>
        </w:rPr>
        <w:t>等受过专业培训的扑火力量为主，驻地军队、武警、民兵、预备役部队等力量为辅，必要时可动员当地林区和农区的干部职工及当地群众等力量协助扑救工作。</w:t>
      </w:r>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outlineLvl w:val="1"/>
        <w:rPr>
          <w:rFonts w:hint="eastAsia" w:ascii="黑体" w:eastAsia="黑体"/>
          <w:bCs/>
          <w:color w:val="auto"/>
          <w:kern w:val="44"/>
          <w:sz w:val="32"/>
          <w:szCs w:val="44"/>
          <w:lang w:val="en-US" w:eastAsia="zh-CN"/>
        </w:rPr>
      </w:pPr>
      <w:bookmarkStart w:id="178" w:name="_Toc10532"/>
      <w:bookmarkStart w:id="179" w:name="_Toc3851"/>
      <w:bookmarkStart w:id="180" w:name="_Toc6481"/>
      <w:r>
        <w:rPr>
          <w:rFonts w:hint="eastAsia" w:ascii="黑体" w:eastAsia="黑体"/>
          <w:bCs/>
          <w:color w:val="auto"/>
          <w:kern w:val="44"/>
          <w:sz w:val="32"/>
          <w:szCs w:val="44"/>
          <w:lang w:val="en-US" w:eastAsia="zh-CN"/>
        </w:rPr>
        <w:t>9.2 运输保障</w:t>
      </w:r>
      <w:bookmarkEnd w:id="178"/>
      <w:bookmarkEnd w:id="179"/>
      <w:bookmarkEnd w:id="180"/>
    </w:p>
    <w:p>
      <w:pPr>
        <w:pStyle w:val="12"/>
        <w:pageBreakBefore w:val="0"/>
        <w:widowControl w:val="0"/>
        <w:kinsoku/>
        <w:wordWrap/>
        <w:overflowPunct/>
        <w:topLinePunct w:val="0"/>
        <w:autoSpaceDE/>
        <w:autoSpaceDN/>
        <w:bidi w:val="0"/>
        <w:spacing w:beforeAutospacing="0" w:afterAutospacing="0" w:line="360" w:lineRule="auto"/>
        <w:ind w:firstLine="640" w:firstLineChars="200"/>
        <w:jc w:val="both"/>
        <w:textAlignment w:val="auto"/>
        <w:rPr>
          <w:rFonts w:ascii="宋体" w:hAnsi="宋体" w:eastAsia="仿宋_GB2312" w:cstheme="minorBidi"/>
          <w:color w:val="auto"/>
          <w:kern w:val="2"/>
          <w:sz w:val="32"/>
          <w:szCs w:val="32"/>
        </w:rPr>
      </w:pPr>
      <w:r>
        <w:rPr>
          <w:rFonts w:hint="eastAsia" w:ascii="宋体" w:hAnsi="宋体" w:eastAsia="仿宋_GB2312" w:cstheme="minorBidi"/>
          <w:color w:val="auto"/>
          <w:kern w:val="2"/>
          <w:sz w:val="32"/>
          <w:szCs w:val="32"/>
        </w:rPr>
        <w:t>增援扑火兵力及携行装备的运输以公路输送方式为主。专业扑火队伍、森林消防</w:t>
      </w:r>
      <w:r>
        <w:rPr>
          <w:rFonts w:hint="eastAsia" w:ascii="宋体" w:hAnsi="宋体" w:eastAsia="仿宋_GB2312" w:cstheme="minorBidi"/>
          <w:color w:val="auto"/>
          <w:kern w:val="2"/>
          <w:sz w:val="32"/>
          <w:szCs w:val="32"/>
          <w:lang w:val="en-US" w:eastAsia="zh-CN"/>
        </w:rPr>
        <w:t>救援</w:t>
      </w:r>
      <w:r>
        <w:rPr>
          <w:rFonts w:hint="eastAsia" w:ascii="宋体" w:hAnsi="宋体" w:eastAsia="仿宋_GB2312" w:cstheme="minorBidi"/>
          <w:color w:val="auto"/>
          <w:kern w:val="2"/>
          <w:sz w:val="32"/>
          <w:szCs w:val="32"/>
        </w:rPr>
        <w:t>队伍的输送由公安、交通运输部门</w:t>
      </w:r>
      <w:r>
        <w:rPr>
          <w:rFonts w:hint="eastAsia" w:ascii="宋体" w:hAnsi="宋体" w:eastAsia="仿宋_GB2312" w:cstheme="minorBidi"/>
          <w:color w:val="auto"/>
          <w:kern w:val="2"/>
          <w:sz w:val="32"/>
          <w:szCs w:val="32"/>
          <w:lang w:val="en-US" w:eastAsia="zh-CN"/>
        </w:rPr>
        <w:t>配合</w:t>
      </w:r>
      <w:r>
        <w:rPr>
          <w:rFonts w:hint="eastAsia" w:ascii="宋体" w:hAnsi="宋体" w:eastAsia="仿宋_GB2312" w:cstheme="minorBidi"/>
          <w:color w:val="auto"/>
          <w:kern w:val="2"/>
          <w:sz w:val="32"/>
          <w:szCs w:val="32"/>
        </w:rPr>
        <w:t>实施。</w:t>
      </w:r>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outlineLvl w:val="1"/>
        <w:rPr>
          <w:rFonts w:hint="eastAsia" w:ascii="黑体" w:eastAsia="黑体"/>
          <w:bCs/>
          <w:color w:val="auto"/>
          <w:kern w:val="44"/>
          <w:sz w:val="32"/>
          <w:szCs w:val="44"/>
          <w:lang w:val="en-US" w:eastAsia="zh-CN"/>
        </w:rPr>
      </w:pPr>
      <w:bookmarkStart w:id="181" w:name="_Toc25283"/>
      <w:bookmarkStart w:id="182" w:name="_Toc16866"/>
      <w:bookmarkStart w:id="183" w:name="_Toc17789"/>
      <w:r>
        <w:rPr>
          <w:rFonts w:hint="eastAsia" w:ascii="黑体" w:eastAsia="黑体"/>
          <w:bCs/>
          <w:color w:val="auto"/>
          <w:kern w:val="44"/>
          <w:sz w:val="32"/>
          <w:szCs w:val="44"/>
          <w:lang w:val="en-US" w:eastAsia="zh-CN"/>
        </w:rPr>
        <w:t>9.3 航空消防飞机保障</w:t>
      </w:r>
      <w:bookmarkEnd w:id="181"/>
      <w:bookmarkEnd w:id="182"/>
      <w:bookmarkEnd w:id="183"/>
    </w:p>
    <w:p>
      <w:pPr>
        <w:pStyle w:val="12"/>
        <w:pageBreakBefore w:val="0"/>
        <w:widowControl w:val="0"/>
        <w:kinsoku/>
        <w:wordWrap/>
        <w:overflowPunct/>
        <w:topLinePunct w:val="0"/>
        <w:autoSpaceDE/>
        <w:autoSpaceDN/>
        <w:bidi w:val="0"/>
        <w:spacing w:beforeAutospacing="0" w:afterAutospacing="0" w:line="360" w:lineRule="auto"/>
        <w:ind w:firstLine="640" w:firstLineChars="200"/>
        <w:jc w:val="both"/>
        <w:textAlignment w:val="auto"/>
        <w:rPr>
          <w:rFonts w:ascii="宋体" w:hAnsi="宋体" w:eastAsia="仿宋_GB2312" w:cstheme="minorBidi"/>
          <w:color w:val="auto"/>
          <w:kern w:val="2"/>
          <w:sz w:val="32"/>
          <w:szCs w:val="32"/>
        </w:rPr>
      </w:pPr>
      <w:r>
        <w:rPr>
          <w:rFonts w:hint="eastAsia" w:ascii="宋体" w:hAnsi="宋体" w:eastAsia="仿宋_GB2312" w:cstheme="minorBidi"/>
          <w:color w:val="auto"/>
          <w:kern w:val="2"/>
          <w:sz w:val="32"/>
          <w:szCs w:val="32"/>
        </w:rPr>
        <w:t>发生重大、特别重大火灾需要调动飞机支援的，由区森防向自治区</w:t>
      </w:r>
      <w:r>
        <w:rPr>
          <w:rFonts w:hint="eastAsia" w:ascii="宋体" w:hAnsi="宋体" w:eastAsia="仿宋_GB2312" w:cstheme="minorBidi"/>
          <w:color w:val="auto"/>
          <w:kern w:val="2"/>
          <w:sz w:val="32"/>
          <w:szCs w:val="32"/>
          <w:lang w:eastAsia="zh-CN"/>
        </w:rPr>
        <w:t>、</w:t>
      </w:r>
      <w:r>
        <w:rPr>
          <w:rFonts w:hint="eastAsia" w:ascii="宋体" w:hAnsi="宋体" w:eastAsia="仿宋_GB2312" w:cstheme="minorBidi"/>
          <w:color w:val="auto"/>
          <w:kern w:val="2"/>
          <w:sz w:val="32"/>
          <w:szCs w:val="32"/>
        </w:rPr>
        <w:t>市森林草原防灭火指挥部提出请求，根据有关规定统一调动。</w:t>
      </w:r>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outlineLvl w:val="1"/>
        <w:rPr>
          <w:rFonts w:hint="eastAsia" w:ascii="黑体" w:eastAsia="黑体"/>
          <w:bCs/>
          <w:color w:val="auto"/>
          <w:kern w:val="44"/>
          <w:sz w:val="32"/>
          <w:szCs w:val="44"/>
          <w:lang w:val="en-US" w:eastAsia="zh-CN"/>
        </w:rPr>
      </w:pPr>
      <w:bookmarkStart w:id="184" w:name="_Toc31675"/>
      <w:bookmarkStart w:id="185" w:name="_Toc23585"/>
      <w:bookmarkStart w:id="186" w:name="_Toc18106"/>
      <w:r>
        <w:rPr>
          <w:rFonts w:hint="eastAsia" w:ascii="黑体" w:eastAsia="黑体"/>
          <w:bCs/>
          <w:color w:val="auto"/>
          <w:kern w:val="44"/>
          <w:sz w:val="32"/>
          <w:szCs w:val="44"/>
          <w:lang w:val="en-US" w:eastAsia="zh-CN"/>
        </w:rPr>
        <w:t>9.4 通信与信息保障</w:t>
      </w:r>
      <w:bookmarkEnd w:id="184"/>
      <w:bookmarkEnd w:id="185"/>
      <w:bookmarkEnd w:id="186"/>
    </w:p>
    <w:p>
      <w:pPr>
        <w:pStyle w:val="12"/>
        <w:pageBreakBefore w:val="0"/>
        <w:widowControl w:val="0"/>
        <w:kinsoku/>
        <w:wordWrap/>
        <w:overflowPunct/>
        <w:topLinePunct w:val="0"/>
        <w:autoSpaceDE/>
        <w:autoSpaceDN/>
        <w:bidi w:val="0"/>
        <w:spacing w:beforeAutospacing="0" w:afterAutospacing="0" w:line="360" w:lineRule="auto"/>
        <w:ind w:firstLine="640" w:firstLineChars="200"/>
        <w:jc w:val="both"/>
        <w:textAlignment w:val="auto"/>
        <w:rPr>
          <w:rFonts w:ascii="宋体" w:hAnsi="宋体" w:eastAsia="仿宋_GB2312" w:cstheme="minorBidi"/>
          <w:color w:val="auto"/>
          <w:kern w:val="2"/>
          <w:sz w:val="32"/>
          <w:szCs w:val="32"/>
        </w:rPr>
      </w:pPr>
      <w:r>
        <w:rPr>
          <w:rFonts w:hint="eastAsia" w:ascii="宋体" w:hAnsi="宋体" w:eastAsia="仿宋_GB2312" w:cstheme="minorBidi"/>
          <w:color w:val="auto"/>
          <w:kern w:val="2"/>
          <w:sz w:val="32"/>
          <w:szCs w:val="32"/>
        </w:rPr>
        <w:t>区森防指将建立健全森林草原防灭火应急通信保障体系，配备与扑火需要相适应的通信设备和通信指挥车。通信保障部门应保障在紧急状态下扑救森林草原火灾时的通信畅通。应急管理</w:t>
      </w:r>
      <w:r>
        <w:rPr>
          <w:rFonts w:hint="eastAsia" w:ascii="宋体" w:hAnsi="宋体" w:eastAsia="仿宋_GB2312" w:cstheme="minorBidi"/>
          <w:color w:val="auto"/>
          <w:kern w:val="2"/>
          <w:sz w:val="32"/>
          <w:szCs w:val="32"/>
          <w:lang w:val="en-US" w:eastAsia="zh-CN"/>
        </w:rPr>
        <w:t>局</w:t>
      </w:r>
      <w:r>
        <w:rPr>
          <w:rFonts w:hint="eastAsia" w:ascii="宋体" w:hAnsi="宋体" w:eastAsia="仿宋_GB2312" w:cstheme="minorBidi"/>
          <w:color w:val="auto"/>
          <w:kern w:val="2"/>
          <w:sz w:val="32"/>
          <w:szCs w:val="32"/>
        </w:rPr>
        <w:t>、</w:t>
      </w:r>
      <w:r>
        <w:rPr>
          <w:rFonts w:hint="eastAsia" w:ascii="宋体" w:hAnsi="宋体" w:eastAsia="仿宋_GB2312" w:cstheme="minorBidi"/>
          <w:color w:val="auto"/>
          <w:kern w:val="2"/>
          <w:sz w:val="32"/>
          <w:szCs w:val="32"/>
          <w:lang w:val="en-US" w:eastAsia="zh-CN"/>
        </w:rPr>
        <w:t>林业和草原局</w:t>
      </w:r>
      <w:r>
        <w:rPr>
          <w:rFonts w:hint="eastAsia" w:ascii="宋体" w:hAnsi="宋体" w:eastAsia="仿宋_GB2312" w:cstheme="minorBidi"/>
          <w:color w:val="auto"/>
          <w:kern w:val="2"/>
          <w:sz w:val="32"/>
          <w:szCs w:val="32"/>
        </w:rPr>
        <w:t>、气象</w:t>
      </w:r>
      <w:r>
        <w:rPr>
          <w:rFonts w:hint="eastAsia" w:ascii="宋体" w:hAnsi="宋体" w:eastAsia="仿宋_GB2312" w:cstheme="minorBidi"/>
          <w:color w:val="auto"/>
          <w:kern w:val="2"/>
          <w:sz w:val="32"/>
          <w:szCs w:val="32"/>
          <w:lang w:val="en-US" w:eastAsia="zh-CN"/>
        </w:rPr>
        <w:t>分局</w:t>
      </w:r>
      <w:r>
        <w:rPr>
          <w:rFonts w:hint="eastAsia" w:ascii="宋体" w:hAnsi="宋体" w:eastAsia="仿宋_GB2312" w:cstheme="minorBidi"/>
          <w:color w:val="auto"/>
          <w:kern w:val="2"/>
          <w:sz w:val="32"/>
          <w:szCs w:val="32"/>
        </w:rPr>
        <w:t>、</w:t>
      </w:r>
      <w:r>
        <w:rPr>
          <w:rFonts w:hint="eastAsia" w:ascii="宋体" w:hAnsi="宋体" w:eastAsia="仿宋_GB2312" w:cstheme="minorBidi"/>
          <w:color w:val="auto"/>
          <w:kern w:val="2"/>
          <w:sz w:val="32"/>
          <w:szCs w:val="32"/>
          <w:lang w:val="en-US" w:eastAsia="zh-CN"/>
        </w:rPr>
        <w:t>农牧水利局、</w:t>
      </w:r>
      <w:r>
        <w:rPr>
          <w:rFonts w:hint="eastAsia" w:ascii="宋体" w:hAnsi="宋体" w:eastAsia="仿宋_GB2312" w:cstheme="minorBidi"/>
          <w:color w:val="auto"/>
          <w:kern w:val="2"/>
          <w:sz w:val="32"/>
          <w:szCs w:val="32"/>
        </w:rPr>
        <w:t>自然资源</w:t>
      </w:r>
      <w:r>
        <w:rPr>
          <w:rFonts w:hint="eastAsia" w:ascii="宋体" w:hAnsi="宋体" w:eastAsia="仿宋_GB2312" w:cstheme="minorBidi"/>
          <w:color w:val="auto"/>
          <w:kern w:val="2"/>
          <w:sz w:val="32"/>
          <w:szCs w:val="32"/>
          <w:lang w:val="en-US" w:eastAsia="zh-CN"/>
        </w:rPr>
        <w:t>分局</w:t>
      </w:r>
      <w:r>
        <w:rPr>
          <w:rFonts w:hint="eastAsia" w:ascii="宋体" w:hAnsi="宋体" w:eastAsia="仿宋_GB2312" w:cstheme="minorBidi"/>
          <w:color w:val="auto"/>
          <w:kern w:val="2"/>
          <w:sz w:val="32"/>
          <w:szCs w:val="32"/>
        </w:rPr>
        <w:t>等部门及时提供天气形势分析数据、卫星林火监测云图、火场实况图片图像、电子地图及火情调度等信息，为扑火指挥提供辅助决策支持。</w:t>
      </w:r>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outlineLvl w:val="1"/>
        <w:rPr>
          <w:rFonts w:hint="eastAsia" w:ascii="黑体" w:eastAsia="黑体"/>
          <w:bCs/>
          <w:color w:val="auto"/>
          <w:kern w:val="44"/>
          <w:sz w:val="32"/>
          <w:szCs w:val="44"/>
          <w:lang w:val="en-US" w:eastAsia="zh-CN"/>
        </w:rPr>
      </w:pPr>
      <w:bookmarkStart w:id="187" w:name="_Toc30361"/>
      <w:bookmarkStart w:id="188" w:name="_Toc8233"/>
      <w:bookmarkStart w:id="189" w:name="_Toc32438"/>
      <w:r>
        <w:rPr>
          <w:rFonts w:hint="eastAsia" w:ascii="黑体" w:eastAsia="黑体"/>
          <w:bCs/>
          <w:color w:val="auto"/>
          <w:kern w:val="44"/>
          <w:sz w:val="32"/>
          <w:szCs w:val="44"/>
          <w:lang w:val="en-US" w:eastAsia="zh-CN"/>
        </w:rPr>
        <w:t>9.5 物资保障</w:t>
      </w:r>
      <w:bookmarkEnd w:id="187"/>
      <w:bookmarkEnd w:id="188"/>
      <w:bookmarkEnd w:id="189"/>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ascii="宋体" w:hAnsi="宋体" w:eastAsia="仿宋_GB2312" w:cstheme="minorBidi"/>
          <w:color w:val="auto"/>
          <w:kern w:val="2"/>
          <w:sz w:val="32"/>
          <w:szCs w:val="32"/>
        </w:rPr>
      </w:pPr>
      <w:r>
        <w:rPr>
          <w:rFonts w:hint="eastAsia" w:ascii="宋体" w:hAnsi="宋体" w:eastAsia="仿宋_GB2312" w:cstheme="minorBidi"/>
          <w:color w:val="auto"/>
          <w:kern w:val="2"/>
          <w:sz w:val="32"/>
          <w:szCs w:val="32"/>
        </w:rPr>
        <w:t>区森防指应当加强重点林区、牧区的森林草原防灭火物资储备库建设，储备扑火机具和物资，用于各地扑火需要，必要时请求市</w:t>
      </w:r>
      <w:r>
        <w:rPr>
          <w:rFonts w:hint="eastAsia" w:ascii="宋体" w:hAnsi="宋体" w:eastAsia="仿宋_GB2312" w:cstheme="minorBidi"/>
          <w:color w:val="auto"/>
          <w:kern w:val="2"/>
          <w:sz w:val="32"/>
          <w:szCs w:val="32"/>
          <w:lang w:val="en-US" w:eastAsia="zh-CN"/>
        </w:rPr>
        <w:t>森防指</w:t>
      </w:r>
      <w:r>
        <w:rPr>
          <w:rFonts w:hint="eastAsia" w:ascii="宋体" w:hAnsi="宋体" w:eastAsia="仿宋_GB2312" w:cstheme="minorBidi"/>
          <w:color w:val="auto"/>
          <w:kern w:val="2"/>
          <w:sz w:val="32"/>
          <w:szCs w:val="32"/>
        </w:rPr>
        <w:t>支援。</w:t>
      </w:r>
      <w:r>
        <w:rPr>
          <w:rFonts w:hint="eastAsia" w:ascii="宋体" w:hAnsi="宋体" w:eastAsia="仿宋_GB2312" w:cstheme="minorBidi"/>
          <w:color w:val="auto"/>
          <w:kern w:val="2"/>
          <w:sz w:val="32"/>
          <w:szCs w:val="32"/>
          <w:lang w:val="en-US" w:eastAsia="zh-CN"/>
        </w:rPr>
        <w:t>成吉思汗大街街道办事处</w:t>
      </w:r>
      <w:r>
        <w:rPr>
          <w:rFonts w:hint="eastAsia" w:ascii="宋体" w:hAnsi="宋体" w:eastAsia="仿宋_GB2312" w:cstheme="minorBidi"/>
          <w:color w:val="auto"/>
          <w:kern w:val="2"/>
          <w:sz w:val="32"/>
          <w:szCs w:val="32"/>
        </w:rPr>
        <w:t>、</w:t>
      </w:r>
      <w:r>
        <w:rPr>
          <w:rFonts w:hint="eastAsia" w:ascii="宋体" w:hAnsi="宋体" w:eastAsia="仿宋_GB2312" w:cstheme="minorBidi"/>
          <w:color w:val="auto"/>
          <w:kern w:val="2"/>
          <w:sz w:val="32"/>
          <w:szCs w:val="32"/>
          <w:lang w:val="en-US" w:eastAsia="zh-CN"/>
        </w:rPr>
        <w:t>保和少镇、古路板管理站及相关</w:t>
      </w:r>
      <w:r>
        <w:rPr>
          <w:rFonts w:hint="eastAsia" w:ascii="宋体" w:hAnsi="宋体" w:eastAsia="仿宋_GB2312" w:cstheme="minorBidi"/>
          <w:color w:val="auto"/>
          <w:kern w:val="2"/>
          <w:sz w:val="32"/>
          <w:szCs w:val="32"/>
        </w:rPr>
        <w:t>村（居</w:t>
      </w:r>
      <w:r>
        <w:rPr>
          <w:rFonts w:hint="eastAsia" w:ascii="宋体" w:hAnsi="宋体" w:eastAsia="仿宋_GB2312" w:cstheme="minorBidi"/>
          <w:color w:val="auto"/>
          <w:kern w:val="2"/>
          <w:sz w:val="32"/>
          <w:szCs w:val="32"/>
          <w:lang w:eastAsia="zh-CN"/>
        </w:rPr>
        <w:t>、</w:t>
      </w:r>
      <w:r>
        <w:rPr>
          <w:rFonts w:hint="eastAsia" w:ascii="宋体" w:hAnsi="宋体" w:eastAsia="仿宋_GB2312" w:cstheme="minorBidi"/>
          <w:color w:val="auto"/>
          <w:kern w:val="2"/>
          <w:sz w:val="32"/>
          <w:szCs w:val="32"/>
          <w:lang w:val="en-US" w:eastAsia="zh-CN"/>
        </w:rPr>
        <w:t>社区</w:t>
      </w:r>
      <w:r>
        <w:rPr>
          <w:rFonts w:hint="eastAsia" w:ascii="宋体" w:hAnsi="宋体" w:eastAsia="仿宋_GB2312" w:cstheme="minorBidi"/>
          <w:color w:val="auto"/>
          <w:kern w:val="2"/>
          <w:sz w:val="32"/>
          <w:szCs w:val="32"/>
        </w:rPr>
        <w:t>）根据本地森林草原防灭火工作需要，建立森林草原防灭火物资储备库，储备所需的扑火机具和物资，确保保障到位。</w:t>
      </w:r>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outlineLvl w:val="1"/>
        <w:rPr>
          <w:rFonts w:hint="eastAsia" w:ascii="黑体" w:eastAsia="黑体"/>
          <w:bCs/>
          <w:color w:val="auto"/>
          <w:kern w:val="44"/>
          <w:sz w:val="32"/>
          <w:szCs w:val="44"/>
          <w:lang w:val="en-US" w:eastAsia="zh-CN"/>
        </w:rPr>
      </w:pPr>
      <w:bookmarkStart w:id="190" w:name="_Toc7275"/>
      <w:bookmarkStart w:id="191" w:name="_Toc923"/>
      <w:bookmarkStart w:id="192" w:name="_Toc26148"/>
      <w:r>
        <w:rPr>
          <w:rFonts w:hint="eastAsia" w:ascii="黑体" w:eastAsia="黑体"/>
          <w:bCs/>
          <w:color w:val="auto"/>
          <w:kern w:val="44"/>
          <w:sz w:val="32"/>
          <w:szCs w:val="44"/>
          <w:lang w:val="en-US" w:eastAsia="zh-CN"/>
        </w:rPr>
        <w:t>9.6 资金保障</w:t>
      </w:r>
      <w:bookmarkEnd w:id="190"/>
      <w:bookmarkEnd w:id="191"/>
      <w:bookmarkEnd w:id="192"/>
    </w:p>
    <w:p>
      <w:pPr>
        <w:pStyle w:val="12"/>
        <w:pageBreakBefore w:val="0"/>
        <w:widowControl w:val="0"/>
        <w:kinsoku/>
        <w:wordWrap/>
        <w:overflowPunct/>
        <w:topLinePunct w:val="0"/>
        <w:autoSpaceDE/>
        <w:autoSpaceDN/>
        <w:bidi w:val="0"/>
        <w:spacing w:beforeAutospacing="0" w:afterAutospacing="0" w:line="360" w:lineRule="auto"/>
        <w:ind w:firstLine="640" w:firstLineChars="200"/>
        <w:jc w:val="both"/>
        <w:textAlignment w:val="auto"/>
        <w:rPr>
          <w:color w:val="auto"/>
        </w:rPr>
      </w:pPr>
      <w:r>
        <w:rPr>
          <w:rFonts w:hint="eastAsia" w:ascii="宋体" w:hAnsi="宋体" w:eastAsia="仿宋_GB2312" w:cstheme="minorBidi"/>
          <w:color w:val="auto"/>
          <w:kern w:val="2"/>
          <w:sz w:val="32"/>
          <w:szCs w:val="32"/>
        </w:rPr>
        <w:t>区政府将森林草原防灭火基础设施建设纳入本级国民经济和社会发展规划，年度防灭火经费纳入本级财政预算，保障森林草原防灭火工作开展。同时财政</w:t>
      </w:r>
      <w:r>
        <w:rPr>
          <w:rFonts w:hint="eastAsia" w:ascii="宋体" w:hAnsi="宋体" w:eastAsia="仿宋_GB2312" w:cstheme="minorBidi"/>
          <w:color w:val="auto"/>
          <w:kern w:val="2"/>
          <w:sz w:val="32"/>
          <w:szCs w:val="32"/>
          <w:lang w:val="en-US" w:eastAsia="zh-CN"/>
        </w:rPr>
        <w:t>局</w:t>
      </w:r>
      <w:r>
        <w:rPr>
          <w:rFonts w:hint="eastAsia" w:ascii="宋体" w:hAnsi="宋体" w:eastAsia="仿宋_GB2312" w:cstheme="minorBidi"/>
          <w:color w:val="auto"/>
          <w:kern w:val="2"/>
          <w:sz w:val="32"/>
          <w:szCs w:val="32"/>
        </w:rPr>
        <w:t>应预留处置重特大森林草原火灾储备金，确保应急需要。</w:t>
      </w:r>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outlineLvl w:val="0"/>
        <w:rPr>
          <w:rFonts w:hint="eastAsia" w:ascii="黑体" w:eastAsia="黑体"/>
          <w:bCs/>
          <w:color w:val="auto"/>
          <w:kern w:val="44"/>
          <w:sz w:val="32"/>
          <w:szCs w:val="44"/>
          <w:lang w:val="en-US" w:eastAsia="zh-CN"/>
        </w:rPr>
      </w:pPr>
      <w:bookmarkStart w:id="193" w:name="_Toc3236"/>
      <w:bookmarkStart w:id="194" w:name="_Toc14068"/>
      <w:bookmarkStart w:id="195" w:name="_Toc31299"/>
      <w:r>
        <w:rPr>
          <w:rFonts w:hint="eastAsia" w:ascii="黑体" w:eastAsia="黑体"/>
          <w:bCs/>
          <w:color w:val="auto"/>
          <w:kern w:val="44"/>
          <w:sz w:val="32"/>
          <w:szCs w:val="44"/>
          <w:lang w:val="en-US" w:eastAsia="zh-CN"/>
        </w:rPr>
        <w:t xml:space="preserve">10 </w:t>
      </w:r>
      <w:bookmarkEnd w:id="193"/>
      <w:r>
        <w:rPr>
          <w:rFonts w:hint="eastAsia" w:ascii="黑体" w:eastAsia="黑体"/>
          <w:bCs/>
          <w:color w:val="auto"/>
          <w:kern w:val="44"/>
          <w:sz w:val="32"/>
          <w:szCs w:val="44"/>
          <w:lang w:val="en-US" w:eastAsia="zh-CN"/>
        </w:rPr>
        <w:t>附则</w:t>
      </w:r>
      <w:bookmarkEnd w:id="194"/>
      <w:bookmarkEnd w:id="195"/>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outlineLvl w:val="1"/>
        <w:rPr>
          <w:rFonts w:hint="eastAsia" w:ascii="黑体" w:eastAsia="黑体"/>
          <w:bCs/>
          <w:color w:val="auto"/>
          <w:kern w:val="44"/>
          <w:sz w:val="32"/>
          <w:szCs w:val="44"/>
          <w:lang w:val="en-US" w:eastAsia="zh-CN"/>
        </w:rPr>
      </w:pPr>
      <w:bookmarkStart w:id="196" w:name="_Toc20713"/>
      <w:bookmarkStart w:id="197" w:name="_Toc21564"/>
      <w:bookmarkStart w:id="198" w:name="_Toc30431"/>
      <w:r>
        <w:rPr>
          <w:rFonts w:hint="eastAsia" w:ascii="黑体" w:eastAsia="黑体"/>
          <w:bCs/>
          <w:color w:val="auto"/>
          <w:kern w:val="44"/>
          <w:sz w:val="32"/>
          <w:szCs w:val="44"/>
          <w:lang w:val="en-US" w:eastAsia="zh-CN"/>
        </w:rPr>
        <w:t>10.1 预案培训与演练</w:t>
      </w:r>
      <w:bookmarkEnd w:id="196"/>
      <w:bookmarkEnd w:id="197"/>
      <w:bookmarkEnd w:id="198"/>
    </w:p>
    <w:p>
      <w:pPr>
        <w:pStyle w:val="12"/>
        <w:pageBreakBefore w:val="0"/>
        <w:widowControl w:val="0"/>
        <w:kinsoku/>
        <w:wordWrap/>
        <w:overflowPunct/>
        <w:topLinePunct w:val="0"/>
        <w:autoSpaceDE/>
        <w:autoSpaceDN/>
        <w:bidi w:val="0"/>
        <w:spacing w:beforeAutospacing="0" w:afterAutospacing="0" w:line="360" w:lineRule="auto"/>
        <w:ind w:firstLine="640" w:firstLineChars="200"/>
        <w:textAlignment w:val="auto"/>
        <w:rPr>
          <w:rFonts w:ascii="宋体" w:hAnsi="宋体" w:eastAsia="仿宋_GB2312" w:cstheme="minorBidi"/>
          <w:color w:val="auto"/>
          <w:kern w:val="2"/>
          <w:sz w:val="32"/>
          <w:szCs w:val="32"/>
        </w:rPr>
      </w:pPr>
      <w:r>
        <w:rPr>
          <w:rFonts w:hint="eastAsia" w:ascii="宋体" w:hAnsi="宋体" w:eastAsia="仿宋_GB2312" w:cstheme="minorBidi"/>
          <w:color w:val="auto"/>
          <w:kern w:val="2"/>
          <w:sz w:val="32"/>
          <w:szCs w:val="32"/>
        </w:rPr>
        <w:t>预案实施后，区森防指会同有关部门组织预案宣传、培训和演练，并根据实际情况，适时组织进行评估和修订。各镇（</w:t>
      </w:r>
      <w:r>
        <w:rPr>
          <w:rFonts w:hint="eastAsia" w:ascii="宋体" w:hAnsi="宋体" w:eastAsia="仿宋_GB2312" w:cstheme="minorBidi"/>
          <w:color w:val="auto"/>
          <w:kern w:val="2"/>
          <w:sz w:val="32"/>
          <w:szCs w:val="32"/>
          <w:lang w:val="en-US" w:eastAsia="zh-CN"/>
        </w:rPr>
        <w:t>街道</w:t>
      </w:r>
      <w:r>
        <w:rPr>
          <w:rFonts w:hint="eastAsia" w:ascii="宋体" w:hAnsi="宋体" w:eastAsia="仿宋_GB2312" w:cstheme="minorBidi"/>
          <w:color w:val="auto"/>
          <w:kern w:val="2"/>
          <w:sz w:val="32"/>
          <w:szCs w:val="32"/>
        </w:rPr>
        <w:t>）及森林草原经营主体结合实际修订和完善森林草原火灾应急预案，并上报区</w:t>
      </w:r>
      <w:r>
        <w:rPr>
          <w:rFonts w:hint="eastAsia" w:ascii="宋体" w:hAnsi="宋体" w:eastAsia="仿宋_GB2312" w:cstheme="minorBidi"/>
          <w:color w:val="auto"/>
          <w:kern w:val="2"/>
          <w:sz w:val="32"/>
          <w:szCs w:val="32"/>
          <w:lang w:val="en-US" w:eastAsia="zh-CN"/>
        </w:rPr>
        <w:t>森</w:t>
      </w:r>
      <w:r>
        <w:rPr>
          <w:rFonts w:hint="eastAsia" w:ascii="宋体" w:hAnsi="宋体" w:eastAsia="仿宋_GB2312" w:cstheme="minorBidi"/>
          <w:color w:val="auto"/>
          <w:kern w:val="2"/>
          <w:sz w:val="32"/>
          <w:szCs w:val="32"/>
        </w:rPr>
        <w:t>防</w:t>
      </w:r>
      <w:r>
        <w:rPr>
          <w:rFonts w:hint="eastAsia" w:ascii="宋体" w:hAnsi="宋体" w:eastAsia="仿宋_GB2312" w:cstheme="minorBidi"/>
          <w:color w:val="auto"/>
          <w:kern w:val="2"/>
          <w:sz w:val="32"/>
          <w:szCs w:val="32"/>
          <w:lang w:val="en-US" w:eastAsia="zh-CN"/>
        </w:rPr>
        <w:t>指办公室</w:t>
      </w:r>
      <w:r>
        <w:rPr>
          <w:rFonts w:hint="eastAsia" w:ascii="宋体" w:hAnsi="宋体" w:eastAsia="仿宋_GB2312" w:cstheme="minorBidi"/>
          <w:color w:val="auto"/>
          <w:kern w:val="2"/>
          <w:sz w:val="32"/>
          <w:szCs w:val="32"/>
        </w:rPr>
        <w:t>备案。</w:t>
      </w:r>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outlineLvl w:val="1"/>
        <w:rPr>
          <w:rFonts w:hint="eastAsia" w:ascii="黑体" w:eastAsia="黑体"/>
          <w:bCs/>
          <w:color w:val="auto"/>
          <w:kern w:val="44"/>
          <w:sz w:val="32"/>
          <w:szCs w:val="44"/>
          <w:lang w:val="en-US" w:eastAsia="zh-CN"/>
        </w:rPr>
      </w:pPr>
      <w:bookmarkStart w:id="199" w:name="_Toc17177"/>
      <w:bookmarkStart w:id="200" w:name="_Toc19861"/>
      <w:bookmarkStart w:id="201" w:name="_Toc14718"/>
      <w:r>
        <w:rPr>
          <w:rFonts w:hint="eastAsia" w:ascii="黑体" w:eastAsia="黑体"/>
          <w:bCs/>
          <w:color w:val="auto"/>
          <w:kern w:val="44"/>
          <w:sz w:val="32"/>
          <w:szCs w:val="44"/>
          <w:lang w:val="en-US" w:eastAsia="zh-CN"/>
        </w:rPr>
        <w:t>10.2 预案解释</w:t>
      </w:r>
      <w:bookmarkEnd w:id="199"/>
      <w:bookmarkEnd w:id="200"/>
      <w:bookmarkEnd w:id="201"/>
    </w:p>
    <w:p>
      <w:pPr>
        <w:pStyle w:val="12"/>
        <w:pageBreakBefore w:val="0"/>
        <w:widowControl w:val="0"/>
        <w:kinsoku/>
        <w:wordWrap/>
        <w:overflowPunct/>
        <w:topLinePunct w:val="0"/>
        <w:autoSpaceDE/>
        <w:autoSpaceDN/>
        <w:bidi w:val="0"/>
        <w:spacing w:beforeAutospacing="0" w:afterAutospacing="0" w:line="360" w:lineRule="auto"/>
        <w:ind w:firstLine="640" w:firstLineChars="200"/>
        <w:textAlignment w:val="auto"/>
        <w:rPr>
          <w:rFonts w:ascii="宋体" w:hAnsi="宋体" w:eastAsia="仿宋_GB2312" w:cstheme="minorBidi"/>
          <w:color w:val="auto"/>
          <w:kern w:val="2"/>
          <w:sz w:val="32"/>
          <w:szCs w:val="32"/>
        </w:rPr>
      </w:pPr>
      <w:r>
        <w:rPr>
          <w:rFonts w:hint="eastAsia" w:ascii="宋体" w:hAnsi="宋体" w:eastAsia="仿宋_GB2312" w:cstheme="minorBidi"/>
          <w:color w:val="auto"/>
          <w:kern w:val="2"/>
          <w:sz w:val="32"/>
          <w:szCs w:val="32"/>
        </w:rPr>
        <w:t>本预案由新城区森林草原防灭火指挥部负责解释。</w:t>
      </w:r>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outlineLvl w:val="1"/>
        <w:rPr>
          <w:rFonts w:hint="eastAsia" w:ascii="黑体" w:eastAsia="黑体"/>
          <w:bCs/>
          <w:color w:val="auto"/>
          <w:kern w:val="44"/>
          <w:sz w:val="32"/>
          <w:szCs w:val="44"/>
          <w:lang w:val="en-US" w:eastAsia="zh-CN"/>
        </w:rPr>
      </w:pPr>
      <w:bookmarkStart w:id="202" w:name="_Toc15748"/>
      <w:bookmarkStart w:id="203" w:name="_Toc7250"/>
      <w:bookmarkStart w:id="204" w:name="_Toc17160"/>
      <w:r>
        <w:rPr>
          <w:rFonts w:hint="eastAsia" w:ascii="黑体" w:eastAsia="黑体"/>
          <w:bCs/>
          <w:color w:val="auto"/>
          <w:kern w:val="44"/>
          <w:sz w:val="32"/>
          <w:szCs w:val="44"/>
          <w:lang w:val="en-US" w:eastAsia="zh-CN"/>
        </w:rPr>
        <w:t>10.3 预案实施时间</w:t>
      </w:r>
      <w:bookmarkEnd w:id="202"/>
      <w:bookmarkEnd w:id="203"/>
      <w:bookmarkEnd w:id="204"/>
    </w:p>
    <w:p>
      <w:pPr>
        <w:pStyle w:val="12"/>
        <w:pageBreakBefore w:val="0"/>
        <w:widowControl w:val="0"/>
        <w:kinsoku/>
        <w:wordWrap/>
        <w:overflowPunct/>
        <w:topLinePunct w:val="0"/>
        <w:autoSpaceDE/>
        <w:autoSpaceDN/>
        <w:bidi w:val="0"/>
        <w:spacing w:beforeAutospacing="0" w:afterAutospacing="0" w:line="360" w:lineRule="auto"/>
        <w:ind w:firstLine="640" w:firstLineChars="200"/>
        <w:textAlignment w:val="auto"/>
        <w:rPr>
          <w:rFonts w:ascii="宋体" w:hAnsi="宋体" w:eastAsia="仿宋_GB2312" w:cstheme="minorBidi"/>
          <w:color w:val="auto"/>
          <w:kern w:val="2"/>
          <w:sz w:val="32"/>
          <w:szCs w:val="32"/>
        </w:rPr>
      </w:pPr>
      <w:r>
        <w:rPr>
          <w:rFonts w:hint="eastAsia" w:ascii="宋体" w:hAnsi="宋体" w:eastAsia="仿宋_GB2312" w:cstheme="minorBidi"/>
          <w:color w:val="auto"/>
          <w:kern w:val="2"/>
          <w:sz w:val="32"/>
          <w:szCs w:val="32"/>
        </w:rPr>
        <w:t>本预案自印发之日起实施。</w:t>
      </w:r>
    </w:p>
    <w:p>
      <w:pPr>
        <w:pageBreakBefore w:val="0"/>
        <w:widowControl w:val="0"/>
        <w:tabs>
          <w:tab w:val="left" w:pos="320"/>
        </w:tabs>
        <w:kinsoku/>
        <w:wordWrap/>
        <w:overflowPunct/>
        <w:topLinePunct w:val="0"/>
        <w:autoSpaceDE/>
        <w:autoSpaceDN/>
        <w:bidi w:val="0"/>
        <w:spacing w:line="360" w:lineRule="auto"/>
        <w:ind w:firstLine="420" w:firstLineChars="200"/>
        <w:jc w:val="left"/>
        <w:textAlignment w:val="auto"/>
        <w:rPr>
          <w:color w:val="auto"/>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outlineLvl w:val="0"/>
        <w:rPr>
          <w:rFonts w:hint="eastAsia" w:ascii="黑体" w:eastAsia="黑体"/>
          <w:bCs/>
          <w:color w:val="auto"/>
          <w:kern w:val="44"/>
          <w:sz w:val="32"/>
          <w:szCs w:val="44"/>
          <w:lang w:val="en-US" w:eastAsia="zh-CN"/>
        </w:rPr>
      </w:pPr>
      <w:bookmarkStart w:id="205" w:name="_Toc29244"/>
      <w:bookmarkStart w:id="206" w:name="_Toc17525"/>
      <w:bookmarkStart w:id="207" w:name="_Toc29035"/>
      <w:r>
        <w:rPr>
          <w:rFonts w:hint="eastAsia" w:ascii="黑体" w:eastAsia="黑体"/>
          <w:bCs/>
          <w:color w:val="auto"/>
          <w:kern w:val="44"/>
          <w:sz w:val="32"/>
          <w:szCs w:val="44"/>
          <w:lang w:val="en-US" w:eastAsia="zh-CN"/>
        </w:rPr>
        <w:t>11 附件</w:t>
      </w:r>
      <w:bookmarkEnd w:id="205"/>
      <w:bookmarkEnd w:id="206"/>
      <w:bookmarkEnd w:id="207"/>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outlineLvl w:val="1"/>
        <w:rPr>
          <w:rFonts w:hint="eastAsia" w:ascii="黑体" w:eastAsia="黑体"/>
          <w:bCs/>
          <w:color w:val="auto"/>
          <w:kern w:val="44"/>
          <w:sz w:val="32"/>
          <w:szCs w:val="44"/>
          <w:lang w:val="en-US" w:eastAsia="zh-CN"/>
        </w:rPr>
      </w:pPr>
      <w:bookmarkStart w:id="208" w:name="_Toc24"/>
      <w:bookmarkStart w:id="209" w:name="_Toc21138"/>
      <w:bookmarkStart w:id="210" w:name="_Toc6468"/>
      <w:r>
        <w:rPr>
          <w:rFonts w:hint="eastAsia" w:ascii="黑体" w:eastAsia="黑体"/>
          <w:bCs/>
          <w:color w:val="auto"/>
          <w:kern w:val="44"/>
          <w:sz w:val="32"/>
          <w:szCs w:val="44"/>
          <w:lang w:val="en-US" w:eastAsia="zh-CN"/>
        </w:rPr>
        <w:t xml:space="preserve">附件1 </w:t>
      </w:r>
      <w:bookmarkEnd w:id="208"/>
      <w:bookmarkEnd w:id="209"/>
      <w:r>
        <w:rPr>
          <w:rFonts w:hint="eastAsia" w:ascii="黑体" w:eastAsia="黑体"/>
          <w:bCs/>
          <w:color w:val="auto"/>
          <w:kern w:val="44"/>
          <w:sz w:val="32"/>
          <w:szCs w:val="44"/>
          <w:lang w:val="en-US" w:eastAsia="zh-CN"/>
        </w:rPr>
        <w:t>新城区专业和半专业扑火队火险预警响应状态</w:t>
      </w:r>
      <w:bookmarkEnd w:id="210"/>
    </w:p>
    <w:tbl>
      <w:tblPr>
        <w:tblStyle w:val="14"/>
        <w:tblW w:w="94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40"/>
        <w:gridCol w:w="468"/>
        <w:gridCol w:w="3481"/>
        <w:gridCol w:w="3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40" w:type="dxa"/>
            <w:tcBorders>
              <w:top w:val="single" w:color="auto" w:sz="12" w:space="0"/>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火</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险等级</w:t>
            </w:r>
          </w:p>
        </w:tc>
        <w:tc>
          <w:tcPr>
            <w:tcW w:w="1040"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森林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草原</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火险</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描述</w:t>
            </w:r>
          </w:p>
        </w:tc>
        <w:tc>
          <w:tcPr>
            <w:tcW w:w="468"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态</w:t>
            </w:r>
          </w:p>
        </w:tc>
        <w:tc>
          <w:tcPr>
            <w:tcW w:w="3481"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专业森林草原</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扑火队工作标准</w:t>
            </w:r>
          </w:p>
        </w:tc>
        <w:tc>
          <w:tcPr>
            <w:tcW w:w="3906" w:type="dxa"/>
            <w:tcBorders>
              <w:top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半专业森林草原</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扑火队工作标准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trPr>
        <w:tc>
          <w:tcPr>
            <w:tcW w:w="540"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五</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级</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火</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险</w:t>
            </w:r>
          </w:p>
        </w:tc>
        <w:tc>
          <w:tcPr>
            <w:tcW w:w="104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森林草原可燃物极度干燥易燃，易迅猛蔓延，具有极危险。</w:t>
            </w: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红</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色</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警</w:t>
            </w:r>
          </w:p>
        </w:tc>
        <w:tc>
          <w:tcPr>
            <w:tcW w:w="348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值班员时刻坚守岗位，扑火机具、油料和车辆放置于规定位置。在白天处于一级待发状态，5分钟内完成出动。夜间保持二级待发状态，15分钟内完成出动。负责人全部在位，着装和携（运）设备、机具按本地扑火和支援扑火分类准备并符合规定标准。</w:t>
            </w:r>
          </w:p>
        </w:tc>
        <w:tc>
          <w:tcPr>
            <w:tcW w:w="3906"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值班员时刻坚守岗位，扑火机具、油料和车辆放置于规定位置，全天处于二级待发状态。负责人全部在位，下班时间延长到21时，夜间集结不超过20分钟，接扑火命令后10分钟内完成出动，着装和携（运）设备、机具符合规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trPr>
        <w:tc>
          <w:tcPr>
            <w:tcW w:w="540"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四</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级</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火</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险</w:t>
            </w:r>
          </w:p>
        </w:tc>
        <w:tc>
          <w:tcPr>
            <w:tcW w:w="104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森林草原可燃物很容易被点燃，易形成强烈火势快速蔓延，具有高危险。</w:t>
            </w: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橙</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色</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警</w:t>
            </w:r>
          </w:p>
        </w:tc>
        <w:tc>
          <w:tcPr>
            <w:tcW w:w="348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值班员时刻坚守岗位，扑火机具、油料和车辆放置于规定位置，全天处于二级待发状态。负责人全部在位，接扑火命令后15分钟内完成出动，着装和携（运）设备、机具符合规定标准。</w:t>
            </w:r>
          </w:p>
        </w:tc>
        <w:tc>
          <w:tcPr>
            <w:tcW w:w="3906"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值班员时刻坚守岗位，扑火机具、油料和车辆放置于规定位置，全天处于二级待发状态。负责人全部在位，下班时间延长到21时，夜间集结不超过25分钟，接扑火命令后10分钟内完成出动，着装和携（运）设备、机具符合规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atLeast"/>
        </w:trPr>
        <w:tc>
          <w:tcPr>
            <w:tcW w:w="540"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级</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火</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险</w:t>
            </w:r>
          </w:p>
        </w:tc>
        <w:tc>
          <w:tcPr>
            <w:tcW w:w="104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森林草原可燃物较易点燃蔓延，具有中度危险。</w:t>
            </w: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色</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警</w:t>
            </w:r>
          </w:p>
        </w:tc>
        <w:tc>
          <w:tcPr>
            <w:tcW w:w="348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值班员时刻坚守岗位，扑火机具、油料和车辆放置于规定位置，处于二级待发状态。负责人至少1人在位，接扑火命令后15分钟内完成出动，着装和携（运）设备、机具符合规定标准。</w:t>
            </w:r>
          </w:p>
        </w:tc>
        <w:tc>
          <w:tcPr>
            <w:tcW w:w="3906"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机具、车辆集中摆放，加足油料，随时待用，队员每天早8时前集中待命或整修机具等，中午就地用餐，晚18时下班。夜间能在25分钟内集结，10分钟完成出动且机具、装备齐全。负责人全天在岗。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3" w:hRule="atLeast"/>
        </w:trPr>
        <w:tc>
          <w:tcPr>
            <w:tcW w:w="540"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级</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火</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险</w:t>
            </w:r>
          </w:p>
        </w:tc>
        <w:tc>
          <w:tcPr>
            <w:tcW w:w="104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森林草原可燃物难以燃烧蔓延，低度危险。</w:t>
            </w:r>
          </w:p>
        </w:tc>
        <w:tc>
          <w:tcPr>
            <w:tcW w:w="46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蓝色预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警</w:t>
            </w:r>
          </w:p>
        </w:tc>
        <w:tc>
          <w:tcPr>
            <w:tcW w:w="348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全体队员不外出，不准假，适当进行学习和训练，维护检修设备，电台开机，车辆待命，遇有火情在30分钟内完成出动。</w:t>
            </w:r>
          </w:p>
        </w:tc>
        <w:tc>
          <w:tcPr>
            <w:tcW w:w="3906"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全体队员白天集中待命，或在场区附近劳动，电台开机，车辆待命，遇有火情在30分钟内完成出动。夜间机具库能随时打开，在30分钟内集结，15分钟完成出动且机具、装备齐全。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435" w:type="dxa"/>
            <w:gridSpan w:val="5"/>
            <w:tcBorders>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snapToGrid/>
              <w:spacing w:line="360" w:lineRule="auto"/>
              <w:jc w:val="both"/>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snapToGrid w:val="0"/>
                <w:color w:val="auto"/>
                <w:kern w:val="0"/>
                <w:sz w:val="24"/>
                <w:szCs w:val="24"/>
              </w:rPr>
              <w:t>备注：森林消防队伍火险预警响应根据实际及时进行战备等级转换。</w:t>
            </w:r>
          </w:p>
        </w:tc>
      </w:tr>
    </w:tbl>
    <w:p>
      <w:pPr>
        <w:pageBreakBefore w:val="0"/>
        <w:widowControl w:val="0"/>
        <w:kinsoku/>
        <w:wordWrap/>
        <w:overflowPunct/>
        <w:topLinePunct w:val="0"/>
        <w:autoSpaceDE/>
        <w:autoSpaceDN/>
        <w:bidi w:val="0"/>
        <w:spacing w:line="360" w:lineRule="auto"/>
        <w:textAlignment w:val="auto"/>
        <w:rPr>
          <w:rFonts w:ascii="仿宋" w:hAnsi="仿宋" w:eastAsia="仿宋"/>
          <w:color w:val="auto"/>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rPr>
          <w:rFonts w:hint="eastAsia" w:ascii="黑体" w:eastAsia="黑体"/>
          <w:bCs/>
          <w:color w:val="auto"/>
          <w:kern w:val="44"/>
          <w:sz w:val="32"/>
          <w:szCs w:val="44"/>
          <w:lang w:val="en-US" w:eastAsia="zh-CN"/>
        </w:rPr>
      </w:pPr>
      <w:bookmarkStart w:id="211" w:name="_Toc4089"/>
      <w:r>
        <w:rPr>
          <w:rFonts w:hint="eastAsia" w:ascii="黑体" w:eastAsia="黑体"/>
          <w:bCs/>
          <w:color w:val="auto"/>
          <w:kern w:val="44"/>
          <w:sz w:val="32"/>
          <w:szCs w:val="44"/>
          <w:lang w:val="en-US" w:eastAsia="zh-CN"/>
        </w:rPr>
        <w:t>附件2 新城区森林草原防灭火指挥部通讯录</w:t>
      </w:r>
      <w:bookmarkEnd w:id="211"/>
      <w:r>
        <w:rPr>
          <w:rFonts w:hint="eastAsia" w:ascii="黑体" w:eastAsia="黑体"/>
          <w:bCs/>
          <w:color w:val="auto"/>
          <w:kern w:val="44"/>
          <w:sz w:val="32"/>
          <w:szCs w:val="44"/>
          <w:lang w:val="en-US" w:eastAsia="zh-CN"/>
        </w:rPr>
        <w:t>（略）</w:t>
      </w:r>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outlineLvl w:val="1"/>
        <w:rPr>
          <w:rFonts w:hint="eastAsia" w:ascii="黑体" w:eastAsia="黑体"/>
          <w:bCs/>
          <w:color w:val="auto"/>
          <w:kern w:val="44"/>
          <w:sz w:val="32"/>
          <w:szCs w:val="44"/>
          <w:lang w:val="en-US" w:eastAsia="zh-CN"/>
        </w:rPr>
      </w:pPr>
      <w:bookmarkStart w:id="212" w:name="_Toc30217"/>
      <w:r>
        <w:rPr>
          <w:rFonts w:hint="eastAsia" w:ascii="黑体" w:eastAsia="黑体"/>
          <w:bCs/>
          <w:color w:val="auto"/>
          <w:kern w:val="44"/>
          <w:sz w:val="32"/>
          <w:szCs w:val="44"/>
          <w:lang w:val="en-US" w:eastAsia="zh-CN"/>
        </w:rPr>
        <w:t>附件3 新城区森林草原火灾等级和划分标准</w:t>
      </w:r>
      <w:bookmarkEnd w:id="212"/>
    </w:p>
    <w:p>
      <w:pPr>
        <w:keepNext w:val="0"/>
        <w:keepLines w:val="0"/>
        <w:pageBreakBefore w:val="0"/>
        <w:widowControl w:val="0"/>
        <w:kinsoku/>
        <w:wordWrap/>
        <w:overflowPunct/>
        <w:topLinePunct w:val="0"/>
        <w:autoSpaceDE/>
        <w:autoSpaceDN/>
        <w:bidi w:val="0"/>
        <w:snapToGrid/>
        <w:spacing w:line="360" w:lineRule="auto"/>
        <w:ind w:firstLine="672" w:firstLineChars="200"/>
        <w:jc w:val="both"/>
        <w:textAlignment w:val="auto"/>
        <w:outlineLvl w:val="9"/>
        <w:rPr>
          <w:rFonts w:hint="eastAsia" w:ascii="黑体" w:hAnsi="黑体" w:eastAsia="黑体" w:cs="黑体"/>
          <w:b w:val="0"/>
          <w:bCs/>
          <w:color w:val="auto"/>
          <w:spacing w:val="8"/>
          <w:kern w:val="0"/>
          <w:sz w:val="32"/>
          <w:szCs w:val="32"/>
        </w:rPr>
      </w:pPr>
      <w:r>
        <w:rPr>
          <w:rFonts w:hint="eastAsia" w:ascii="黑体" w:hAnsi="黑体" w:eastAsia="黑体" w:cs="黑体"/>
          <w:b w:val="0"/>
          <w:bCs/>
          <w:color w:val="auto"/>
          <w:spacing w:val="8"/>
          <w:kern w:val="0"/>
          <w:sz w:val="32"/>
          <w:szCs w:val="32"/>
        </w:rPr>
        <w:t>一、森林火灾灾害分级标准</w:t>
      </w:r>
    </w:p>
    <w:p>
      <w:pPr>
        <w:keepNext w:val="0"/>
        <w:keepLines w:val="0"/>
        <w:pageBreakBefore w:val="0"/>
        <w:widowControl w:val="0"/>
        <w:kinsoku/>
        <w:wordWrap/>
        <w:overflowPunct/>
        <w:topLinePunct w:val="0"/>
        <w:autoSpaceDE/>
        <w:autoSpaceDN/>
        <w:bidi w:val="0"/>
        <w:snapToGrid/>
        <w:spacing w:line="360" w:lineRule="auto"/>
        <w:ind w:firstLine="672" w:firstLineChars="200"/>
        <w:jc w:val="both"/>
        <w:textAlignment w:val="auto"/>
        <w:outlineLvl w:val="9"/>
        <w:rPr>
          <w:rFonts w:hint="eastAsia" w:ascii="仿宋_GB2312" w:hAnsi="仿宋_GB2312" w:eastAsia="仿宋_GB2312" w:cs="仿宋_GB2312"/>
          <w:color w:val="auto"/>
          <w:spacing w:val="8"/>
          <w:kern w:val="0"/>
          <w:sz w:val="32"/>
          <w:szCs w:val="32"/>
        </w:rPr>
      </w:pPr>
      <w:r>
        <w:rPr>
          <w:rFonts w:hint="eastAsia" w:ascii="仿宋_GB2312" w:hAnsi="仿宋_GB2312" w:eastAsia="仿宋_GB2312" w:cs="仿宋_GB2312"/>
          <w:color w:val="auto"/>
          <w:spacing w:val="8"/>
          <w:kern w:val="0"/>
          <w:sz w:val="32"/>
          <w:szCs w:val="32"/>
        </w:rPr>
        <w:t>一般森林火灾：受害森林面积在1公顷以下或者其他林地起火的，或者死亡1人以上3人以下的，或者重伤1人以上10人以下的；</w:t>
      </w:r>
    </w:p>
    <w:p>
      <w:pPr>
        <w:keepNext w:val="0"/>
        <w:keepLines w:val="0"/>
        <w:pageBreakBefore w:val="0"/>
        <w:widowControl w:val="0"/>
        <w:kinsoku/>
        <w:wordWrap/>
        <w:overflowPunct/>
        <w:topLinePunct w:val="0"/>
        <w:autoSpaceDE/>
        <w:autoSpaceDN/>
        <w:bidi w:val="0"/>
        <w:snapToGrid/>
        <w:spacing w:line="360" w:lineRule="auto"/>
        <w:ind w:firstLine="672" w:firstLineChars="200"/>
        <w:jc w:val="both"/>
        <w:textAlignment w:val="auto"/>
        <w:outlineLvl w:val="9"/>
        <w:rPr>
          <w:rFonts w:hint="eastAsia" w:ascii="仿宋_GB2312" w:hAnsi="仿宋_GB2312" w:eastAsia="仿宋_GB2312" w:cs="仿宋_GB2312"/>
          <w:color w:val="auto"/>
          <w:spacing w:val="8"/>
          <w:kern w:val="0"/>
          <w:sz w:val="32"/>
          <w:szCs w:val="32"/>
        </w:rPr>
      </w:pPr>
      <w:r>
        <w:rPr>
          <w:rFonts w:hint="eastAsia" w:ascii="仿宋_GB2312" w:hAnsi="仿宋_GB2312" w:eastAsia="仿宋_GB2312" w:cs="仿宋_GB2312"/>
          <w:color w:val="auto"/>
          <w:spacing w:val="8"/>
          <w:kern w:val="0"/>
          <w:sz w:val="32"/>
          <w:szCs w:val="32"/>
        </w:rPr>
        <w:t>较大森林火灾：受害森林面积在1公顷以上100公顷以下的，或者死亡3人以上10人以下的，或者重伤10人以上50人以下的；</w:t>
      </w:r>
    </w:p>
    <w:p>
      <w:pPr>
        <w:keepNext w:val="0"/>
        <w:keepLines w:val="0"/>
        <w:pageBreakBefore w:val="0"/>
        <w:widowControl w:val="0"/>
        <w:kinsoku/>
        <w:wordWrap/>
        <w:overflowPunct/>
        <w:topLinePunct w:val="0"/>
        <w:autoSpaceDE/>
        <w:autoSpaceDN/>
        <w:bidi w:val="0"/>
        <w:snapToGrid/>
        <w:spacing w:line="360" w:lineRule="auto"/>
        <w:ind w:firstLine="672" w:firstLineChars="200"/>
        <w:jc w:val="both"/>
        <w:textAlignment w:val="auto"/>
        <w:outlineLvl w:val="9"/>
        <w:rPr>
          <w:rFonts w:hint="eastAsia" w:ascii="仿宋_GB2312" w:hAnsi="仿宋_GB2312" w:eastAsia="仿宋_GB2312" w:cs="仿宋_GB2312"/>
          <w:color w:val="auto"/>
          <w:spacing w:val="8"/>
          <w:kern w:val="0"/>
          <w:sz w:val="32"/>
          <w:szCs w:val="32"/>
        </w:rPr>
      </w:pPr>
      <w:r>
        <w:rPr>
          <w:rFonts w:hint="eastAsia" w:ascii="仿宋_GB2312" w:hAnsi="仿宋_GB2312" w:eastAsia="仿宋_GB2312" w:cs="仿宋_GB2312"/>
          <w:color w:val="auto"/>
          <w:spacing w:val="8"/>
          <w:kern w:val="0"/>
          <w:sz w:val="32"/>
          <w:szCs w:val="32"/>
        </w:rPr>
        <w:t>重大森林火灾：受害森林面积在100公顷以上1000公顷以下的，或者死亡10人以上30人以下的，或者重伤50人以上100人以下的；</w:t>
      </w:r>
    </w:p>
    <w:p>
      <w:pPr>
        <w:keepNext w:val="0"/>
        <w:keepLines w:val="0"/>
        <w:pageBreakBefore w:val="0"/>
        <w:widowControl w:val="0"/>
        <w:kinsoku/>
        <w:wordWrap/>
        <w:overflowPunct/>
        <w:topLinePunct w:val="0"/>
        <w:autoSpaceDE/>
        <w:autoSpaceDN/>
        <w:bidi w:val="0"/>
        <w:snapToGrid/>
        <w:spacing w:line="360" w:lineRule="auto"/>
        <w:ind w:firstLine="672" w:firstLineChars="200"/>
        <w:jc w:val="both"/>
        <w:textAlignment w:val="auto"/>
        <w:outlineLvl w:val="9"/>
        <w:rPr>
          <w:rFonts w:hint="eastAsia" w:ascii="仿宋_GB2312" w:hAnsi="仿宋_GB2312" w:eastAsia="仿宋_GB2312" w:cs="仿宋_GB2312"/>
          <w:color w:val="auto"/>
          <w:spacing w:val="8"/>
          <w:kern w:val="0"/>
          <w:sz w:val="32"/>
          <w:szCs w:val="32"/>
        </w:rPr>
      </w:pPr>
      <w:r>
        <w:rPr>
          <w:rFonts w:hint="eastAsia" w:ascii="仿宋_GB2312" w:hAnsi="仿宋_GB2312" w:eastAsia="仿宋_GB2312" w:cs="仿宋_GB2312"/>
          <w:color w:val="auto"/>
          <w:spacing w:val="8"/>
          <w:kern w:val="0"/>
          <w:sz w:val="32"/>
          <w:szCs w:val="32"/>
        </w:rPr>
        <w:t>特别重大森林火灾：受害森林面积在1000公顷以上的，或者死亡30人以上的，或者重伤100人以上的。</w:t>
      </w:r>
    </w:p>
    <w:p>
      <w:pPr>
        <w:pageBreakBefore w:val="0"/>
        <w:widowControl w:val="0"/>
        <w:kinsoku/>
        <w:wordWrap/>
        <w:overflowPunct/>
        <w:topLinePunct w:val="0"/>
        <w:autoSpaceDE/>
        <w:autoSpaceDN/>
        <w:bidi w:val="0"/>
        <w:spacing w:line="360" w:lineRule="auto"/>
        <w:ind w:firstLine="672" w:firstLineChars="200"/>
        <w:textAlignment w:val="auto"/>
        <w:outlineLvl w:val="9"/>
        <w:rPr>
          <w:rFonts w:hint="eastAsia" w:ascii="仿宋_GB2312" w:hAnsi="仿宋_GB2312" w:eastAsia="仿宋_GB2312" w:cs="仿宋_GB2312"/>
          <w:color w:val="auto"/>
          <w:spacing w:val="8"/>
          <w:kern w:val="0"/>
          <w:sz w:val="32"/>
          <w:szCs w:val="32"/>
          <w:lang w:eastAsia="zh-CN"/>
        </w:rPr>
      </w:pPr>
      <w:r>
        <w:rPr>
          <w:rFonts w:hint="eastAsia" w:ascii="仿宋_GB2312" w:hAnsi="仿宋_GB2312" w:eastAsia="仿宋_GB2312" w:cs="仿宋_GB2312"/>
          <w:color w:val="auto"/>
          <w:spacing w:val="8"/>
          <w:kern w:val="0"/>
          <w:sz w:val="32"/>
          <w:szCs w:val="32"/>
          <w:lang w:eastAsia="zh-CN"/>
        </w:rPr>
        <w:t>注：</w:t>
      </w:r>
      <w:r>
        <w:rPr>
          <w:rFonts w:hint="eastAsia" w:ascii="仿宋_GB2312" w:hAnsi="仿宋_GB2312" w:eastAsia="仿宋_GB2312" w:cs="仿宋_GB2312"/>
          <w:i w:val="0"/>
          <w:iCs w:val="0"/>
          <w:caps w:val="0"/>
          <w:color w:val="auto"/>
          <w:spacing w:val="8"/>
          <w:kern w:val="0"/>
          <w:sz w:val="32"/>
          <w:szCs w:val="32"/>
          <w:shd w:val="clear" w:fill="FFFFFF"/>
        </w:rPr>
        <w:t>“以上”包括本数，“以下”不包括本数</w:t>
      </w:r>
      <w:r>
        <w:rPr>
          <w:rFonts w:hint="eastAsia" w:ascii="仿宋_GB2312" w:hAnsi="仿宋_GB2312" w:eastAsia="仿宋_GB2312" w:cs="仿宋_GB2312"/>
          <w:i w:val="0"/>
          <w:iCs w:val="0"/>
          <w:caps w:val="0"/>
          <w:color w:val="auto"/>
          <w:spacing w:val="8"/>
          <w:kern w:val="0"/>
          <w:sz w:val="32"/>
          <w:szCs w:val="32"/>
          <w:shd w:val="clear"/>
          <w:lang w:eastAsia="zh-CN"/>
        </w:rPr>
        <w:t>。</w:t>
      </w:r>
    </w:p>
    <w:p>
      <w:pPr>
        <w:keepNext w:val="0"/>
        <w:keepLines w:val="0"/>
        <w:pageBreakBefore w:val="0"/>
        <w:widowControl w:val="0"/>
        <w:kinsoku/>
        <w:wordWrap/>
        <w:overflowPunct/>
        <w:topLinePunct w:val="0"/>
        <w:autoSpaceDE/>
        <w:autoSpaceDN/>
        <w:bidi w:val="0"/>
        <w:snapToGrid/>
        <w:spacing w:line="360" w:lineRule="auto"/>
        <w:ind w:firstLine="672" w:firstLineChars="200"/>
        <w:jc w:val="both"/>
        <w:textAlignment w:val="auto"/>
        <w:outlineLvl w:val="9"/>
        <w:rPr>
          <w:rFonts w:hint="eastAsia" w:ascii="黑体" w:hAnsi="黑体" w:eastAsia="黑体" w:cs="黑体"/>
          <w:b w:val="0"/>
          <w:bCs/>
          <w:color w:val="auto"/>
          <w:spacing w:val="8"/>
          <w:kern w:val="0"/>
          <w:sz w:val="32"/>
          <w:szCs w:val="32"/>
        </w:rPr>
      </w:pPr>
      <w:r>
        <w:rPr>
          <w:rFonts w:hint="eastAsia" w:ascii="黑体" w:hAnsi="黑体" w:eastAsia="黑体" w:cs="黑体"/>
          <w:b w:val="0"/>
          <w:bCs/>
          <w:color w:val="auto"/>
          <w:spacing w:val="8"/>
          <w:kern w:val="0"/>
          <w:sz w:val="32"/>
          <w:szCs w:val="32"/>
        </w:rPr>
        <w:t>二、草原火灾灾害分级标准</w:t>
      </w:r>
    </w:p>
    <w:p>
      <w:pPr>
        <w:keepNext w:val="0"/>
        <w:keepLines w:val="0"/>
        <w:pageBreakBefore w:val="0"/>
        <w:widowControl w:val="0"/>
        <w:kinsoku/>
        <w:wordWrap/>
        <w:overflowPunct/>
        <w:topLinePunct w:val="0"/>
        <w:autoSpaceDE/>
        <w:autoSpaceDN/>
        <w:bidi w:val="0"/>
        <w:snapToGrid/>
        <w:spacing w:line="360" w:lineRule="auto"/>
        <w:ind w:firstLine="672" w:firstLineChars="200"/>
        <w:jc w:val="both"/>
        <w:textAlignment w:val="auto"/>
        <w:outlineLvl w:val="9"/>
        <w:rPr>
          <w:rFonts w:hint="eastAsia" w:ascii="仿宋_GB2312" w:hAnsi="仿宋_GB2312" w:eastAsia="仿宋_GB2312" w:cs="仿宋_GB2312"/>
          <w:color w:val="auto"/>
          <w:spacing w:val="8"/>
          <w:kern w:val="0"/>
          <w:sz w:val="32"/>
          <w:szCs w:val="32"/>
        </w:rPr>
      </w:pPr>
      <w:r>
        <w:rPr>
          <w:rFonts w:hint="eastAsia" w:ascii="仿宋_GB2312" w:hAnsi="仿宋_GB2312" w:eastAsia="仿宋_GB2312" w:cs="仿宋_GB2312"/>
          <w:color w:val="auto"/>
          <w:spacing w:val="8"/>
          <w:kern w:val="0"/>
          <w:sz w:val="32"/>
          <w:szCs w:val="32"/>
        </w:rPr>
        <w:t>一般草原火灾：受害草原面积10公顷以上1000公顷以下的，或者造成重伤1人以上3人以下的，或者直接经济损失5000元以上50万元以下的。</w:t>
      </w:r>
    </w:p>
    <w:p>
      <w:pPr>
        <w:keepNext w:val="0"/>
        <w:keepLines w:val="0"/>
        <w:pageBreakBefore w:val="0"/>
        <w:widowControl w:val="0"/>
        <w:kinsoku/>
        <w:wordWrap/>
        <w:overflowPunct/>
        <w:topLinePunct w:val="0"/>
        <w:autoSpaceDE/>
        <w:autoSpaceDN/>
        <w:bidi w:val="0"/>
        <w:snapToGrid/>
        <w:spacing w:line="360" w:lineRule="auto"/>
        <w:ind w:firstLine="672" w:firstLineChars="200"/>
        <w:jc w:val="both"/>
        <w:textAlignment w:val="auto"/>
        <w:outlineLvl w:val="9"/>
        <w:rPr>
          <w:rFonts w:hint="eastAsia" w:ascii="仿宋_GB2312" w:hAnsi="仿宋_GB2312" w:eastAsia="仿宋_GB2312" w:cs="仿宋_GB2312"/>
          <w:color w:val="auto"/>
          <w:spacing w:val="8"/>
          <w:kern w:val="0"/>
          <w:sz w:val="32"/>
          <w:szCs w:val="32"/>
        </w:rPr>
      </w:pPr>
      <w:r>
        <w:rPr>
          <w:rFonts w:hint="eastAsia" w:ascii="仿宋_GB2312" w:hAnsi="仿宋_GB2312" w:eastAsia="仿宋_GB2312" w:cs="仿宋_GB2312"/>
          <w:color w:val="auto"/>
          <w:spacing w:val="8"/>
          <w:kern w:val="0"/>
          <w:sz w:val="32"/>
          <w:szCs w:val="32"/>
        </w:rPr>
        <w:t>较大草原火灾：受害草原面积1000公顷以上5000公顷以下的，或者造成死亡3人以下，或者造成重伤3人以上10人以下的，或者直接经济损失50万元以上300万元以下的。</w:t>
      </w:r>
    </w:p>
    <w:p>
      <w:pPr>
        <w:keepNext w:val="0"/>
        <w:keepLines w:val="0"/>
        <w:pageBreakBefore w:val="0"/>
        <w:widowControl w:val="0"/>
        <w:kinsoku/>
        <w:wordWrap/>
        <w:overflowPunct/>
        <w:topLinePunct w:val="0"/>
        <w:autoSpaceDE/>
        <w:autoSpaceDN/>
        <w:bidi w:val="0"/>
        <w:snapToGrid/>
        <w:spacing w:line="360" w:lineRule="auto"/>
        <w:ind w:firstLine="672" w:firstLineChars="200"/>
        <w:jc w:val="both"/>
        <w:textAlignment w:val="auto"/>
        <w:outlineLvl w:val="9"/>
        <w:rPr>
          <w:rFonts w:hint="eastAsia" w:ascii="仿宋_GB2312" w:hAnsi="仿宋_GB2312" w:eastAsia="仿宋_GB2312" w:cs="仿宋_GB2312"/>
          <w:color w:val="auto"/>
          <w:spacing w:val="8"/>
          <w:kern w:val="0"/>
          <w:sz w:val="32"/>
          <w:szCs w:val="32"/>
        </w:rPr>
      </w:pPr>
      <w:r>
        <w:rPr>
          <w:rFonts w:hint="eastAsia" w:ascii="仿宋_GB2312" w:hAnsi="仿宋_GB2312" w:eastAsia="仿宋_GB2312" w:cs="仿宋_GB2312"/>
          <w:color w:val="auto"/>
          <w:spacing w:val="8"/>
          <w:kern w:val="0"/>
          <w:sz w:val="32"/>
          <w:szCs w:val="32"/>
        </w:rPr>
        <w:t>重大草原火灾：受害草原面积5000公顷以上8000公顷以下的，或者造成死亡3人以上10人以下，或造成死亡和重伤合计10人以上20人以下的，或者直接经济损失300万元以上500万元以下的。</w:t>
      </w:r>
    </w:p>
    <w:p>
      <w:pPr>
        <w:keepNext w:val="0"/>
        <w:keepLines w:val="0"/>
        <w:pageBreakBefore w:val="0"/>
        <w:widowControl w:val="0"/>
        <w:kinsoku/>
        <w:wordWrap/>
        <w:overflowPunct/>
        <w:topLinePunct w:val="0"/>
        <w:autoSpaceDE/>
        <w:autoSpaceDN/>
        <w:bidi w:val="0"/>
        <w:snapToGrid/>
        <w:spacing w:line="360" w:lineRule="auto"/>
        <w:ind w:firstLine="672" w:firstLineChars="200"/>
        <w:jc w:val="both"/>
        <w:textAlignment w:val="auto"/>
        <w:outlineLvl w:val="9"/>
        <w:rPr>
          <w:rFonts w:hint="eastAsia" w:ascii="仿宋_GB2312" w:hAnsi="仿宋_GB2312" w:eastAsia="仿宋_GB2312" w:cs="仿宋_GB2312"/>
          <w:color w:val="auto"/>
          <w:spacing w:val="8"/>
          <w:kern w:val="0"/>
          <w:sz w:val="32"/>
          <w:szCs w:val="32"/>
        </w:rPr>
      </w:pPr>
      <w:r>
        <w:rPr>
          <w:rFonts w:hint="eastAsia" w:ascii="仿宋_GB2312" w:hAnsi="仿宋_GB2312" w:eastAsia="仿宋_GB2312" w:cs="仿宋_GB2312"/>
          <w:color w:val="auto"/>
          <w:spacing w:val="8"/>
          <w:kern w:val="0"/>
          <w:sz w:val="32"/>
          <w:szCs w:val="32"/>
        </w:rPr>
        <w:t>特别重大草原火灾：受害草原面积8000公顷以上的，或者造成死亡10人以上，或造成死亡和重伤合计20人以上的，或者直接经济损失500万元以上的。</w:t>
      </w:r>
    </w:p>
    <w:p>
      <w:pPr>
        <w:pageBreakBefore w:val="0"/>
        <w:widowControl w:val="0"/>
        <w:kinsoku/>
        <w:wordWrap/>
        <w:overflowPunct/>
        <w:topLinePunct w:val="0"/>
        <w:autoSpaceDE/>
        <w:autoSpaceDN/>
        <w:bidi w:val="0"/>
        <w:spacing w:line="360" w:lineRule="auto"/>
        <w:ind w:firstLine="672" w:firstLineChars="200"/>
        <w:textAlignment w:val="auto"/>
        <w:outlineLvl w:val="9"/>
        <w:rPr>
          <w:rFonts w:hint="eastAsia"/>
          <w:color w:val="auto"/>
        </w:rPr>
      </w:pPr>
      <w:r>
        <w:rPr>
          <w:rFonts w:hint="eastAsia" w:ascii="仿宋_GB2312" w:hAnsi="仿宋_GB2312" w:eastAsia="仿宋_GB2312" w:cs="仿宋_GB2312"/>
          <w:color w:val="auto"/>
          <w:spacing w:val="8"/>
          <w:kern w:val="0"/>
          <w:sz w:val="32"/>
          <w:szCs w:val="32"/>
          <w:lang w:eastAsia="zh-CN"/>
        </w:rPr>
        <w:t>注：</w:t>
      </w:r>
      <w:r>
        <w:rPr>
          <w:rFonts w:hint="eastAsia" w:ascii="仿宋_GB2312" w:hAnsi="仿宋_GB2312" w:eastAsia="仿宋_GB2312" w:cs="仿宋_GB2312"/>
          <w:i w:val="0"/>
          <w:iCs w:val="0"/>
          <w:caps w:val="0"/>
          <w:color w:val="auto"/>
          <w:spacing w:val="8"/>
          <w:kern w:val="0"/>
          <w:sz w:val="32"/>
          <w:szCs w:val="32"/>
          <w:shd w:val="clear"/>
        </w:rPr>
        <w:t>“以上”包括本数，“以下”不包括本数</w:t>
      </w:r>
      <w:r>
        <w:rPr>
          <w:rFonts w:hint="eastAsia" w:ascii="仿宋_GB2312" w:hAnsi="仿宋_GB2312" w:eastAsia="仿宋_GB2312" w:cs="仿宋_GB2312"/>
          <w:i w:val="0"/>
          <w:iCs w:val="0"/>
          <w:caps w:val="0"/>
          <w:color w:val="auto"/>
          <w:spacing w:val="8"/>
          <w:kern w:val="0"/>
          <w:sz w:val="32"/>
          <w:szCs w:val="32"/>
          <w:shd w:val="clear"/>
          <w:lang w:eastAsia="zh-CN"/>
        </w:rPr>
        <w:t>。</w:t>
      </w:r>
    </w:p>
    <w:p>
      <w:pPr>
        <w:pageBreakBefore w:val="0"/>
        <w:widowControl w:val="0"/>
        <w:kinsoku/>
        <w:wordWrap/>
        <w:overflowPunct/>
        <w:topLinePunct w:val="0"/>
        <w:autoSpaceDE/>
        <w:autoSpaceDN/>
        <w:bidi w:val="0"/>
        <w:textAlignment w:val="auto"/>
        <w:rPr>
          <w:rFonts w:hint="eastAsia"/>
          <w:color w:val="auto"/>
        </w:rPr>
        <w:sectPr>
          <w:pgSz w:w="11906" w:h="16838"/>
          <w:pgMar w:top="1304" w:right="1474" w:bottom="1304" w:left="1474"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textAlignment w:val="auto"/>
        <w:outlineLvl w:val="1"/>
        <w:rPr>
          <w:rFonts w:hint="eastAsia" w:ascii="黑体" w:eastAsia="黑体"/>
          <w:bCs/>
          <w:color w:val="auto"/>
          <w:kern w:val="44"/>
          <w:sz w:val="32"/>
          <w:szCs w:val="44"/>
          <w:lang w:val="en-US" w:eastAsia="zh-CN"/>
        </w:rPr>
      </w:pPr>
      <w:bookmarkStart w:id="213" w:name="_Toc26237"/>
      <w:r>
        <w:rPr>
          <w:rFonts w:hint="eastAsia" w:ascii="黑体" w:eastAsia="黑体"/>
          <w:bCs/>
          <w:color w:val="auto"/>
          <w:kern w:val="44"/>
          <w:sz w:val="32"/>
          <w:szCs w:val="44"/>
          <w:lang w:val="en-US" w:eastAsia="zh-CN"/>
        </w:rPr>
        <w:t>附件4 新城区森林草原火险预警级别及信号颜色</w:t>
      </w:r>
      <w:bookmarkEnd w:id="213"/>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1789"/>
        <w:gridCol w:w="1789"/>
        <w:gridCol w:w="1789"/>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Borders>
              <w:tl2br w:val="nil"/>
              <w:tr2bl w:val="nil"/>
            </w:tcBorders>
            <w:shd w:val="clear" w:color="auto" w:fill="auto"/>
            <w:vAlign w:val="center"/>
          </w:tcPr>
          <w:p>
            <w:pPr>
              <w:pageBreakBefore w:val="0"/>
              <w:widowControl w:val="0"/>
              <w:kinsoku/>
              <w:wordWrap/>
              <w:overflowPunct/>
              <w:topLinePunct w:val="0"/>
              <w:autoSpaceDE/>
              <w:autoSpaceDN/>
              <w:bidi w:val="0"/>
              <w:spacing w:line="360" w:lineRule="auto"/>
              <w:jc w:val="center"/>
              <w:textAlignment w:val="auto"/>
              <w:outlineLvl w:val="9"/>
              <w:rPr>
                <w:rFonts w:hint="eastAsia" w:ascii="黑体" w:hAnsi="黑体" w:eastAsia="黑体" w:cs="黑体"/>
                <w:b w:val="0"/>
                <w:bCs/>
                <w:color w:val="auto"/>
                <w:kern w:val="0"/>
                <w:sz w:val="24"/>
                <w:szCs w:val="24"/>
              </w:rPr>
            </w:pPr>
            <w:r>
              <w:rPr>
                <w:rFonts w:hint="eastAsia" w:ascii="黑体" w:hAnsi="黑体" w:eastAsia="黑体" w:cs="黑体"/>
                <w:b w:val="0"/>
                <w:bCs/>
                <w:color w:val="auto"/>
                <w:kern w:val="0"/>
                <w:sz w:val="24"/>
                <w:szCs w:val="24"/>
              </w:rPr>
              <w:t>森林草原火险等级</w:t>
            </w:r>
          </w:p>
        </w:tc>
        <w:tc>
          <w:tcPr>
            <w:tcW w:w="1789" w:type="dxa"/>
            <w:tcBorders>
              <w:tl2br w:val="nil"/>
              <w:tr2bl w:val="nil"/>
            </w:tcBorders>
            <w:shd w:val="clear" w:color="auto" w:fill="auto"/>
            <w:vAlign w:val="center"/>
          </w:tcPr>
          <w:p>
            <w:pPr>
              <w:pageBreakBefore w:val="0"/>
              <w:widowControl w:val="0"/>
              <w:kinsoku/>
              <w:wordWrap/>
              <w:overflowPunct/>
              <w:topLinePunct w:val="0"/>
              <w:autoSpaceDE/>
              <w:autoSpaceDN/>
              <w:bidi w:val="0"/>
              <w:spacing w:line="360" w:lineRule="auto"/>
              <w:jc w:val="center"/>
              <w:textAlignment w:val="auto"/>
              <w:outlineLvl w:val="9"/>
              <w:rPr>
                <w:rFonts w:hint="eastAsia" w:ascii="黑体" w:hAnsi="黑体" w:eastAsia="黑体" w:cs="黑体"/>
                <w:b w:val="0"/>
                <w:bCs/>
                <w:color w:val="auto"/>
                <w:kern w:val="0"/>
                <w:sz w:val="24"/>
                <w:szCs w:val="24"/>
              </w:rPr>
            </w:pPr>
            <w:r>
              <w:rPr>
                <w:rFonts w:hint="eastAsia" w:ascii="黑体" w:hAnsi="黑体" w:eastAsia="黑体" w:cs="黑体"/>
                <w:b w:val="0"/>
                <w:bCs/>
                <w:color w:val="auto"/>
                <w:kern w:val="0"/>
                <w:sz w:val="24"/>
                <w:szCs w:val="24"/>
              </w:rPr>
              <w:t>危险程度</w:t>
            </w:r>
          </w:p>
        </w:tc>
        <w:tc>
          <w:tcPr>
            <w:tcW w:w="1789" w:type="dxa"/>
            <w:tcBorders>
              <w:tl2br w:val="nil"/>
              <w:tr2bl w:val="nil"/>
            </w:tcBorders>
            <w:shd w:val="clear" w:color="auto" w:fill="auto"/>
            <w:vAlign w:val="center"/>
          </w:tcPr>
          <w:p>
            <w:pPr>
              <w:pageBreakBefore w:val="0"/>
              <w:widowControl w:val="0"/>
              <w:kinsoku/>
              <w:wordWrap/>
              <w:overflowPunct/>
              <w:topLinePunct w:val="0"/>
              <w:autoSpaceDE/>
              <w:autoSpaceDN/>
              <w:bidi w:val="0"/>
              <w:spacing w:line="360" w:lineRule="auto"/>
              <w:jc w:val="center"/>
              <w:textAlignment w:val="auto"/>
              <w:outlineLvl w:val="9"/>
              <w:rPr>
                <w:rFonts w:hint="eastAsia" w:ascii="黑体" w:hAnsi="黑体" w:eastAsia="黑体" w:cs="黑体"/>
                <w:b w:val="0"/>
                <w:bCs/>
                <w:color w:val="auto"/>
                <w:kern w:val="0"/>
                <w:sz w:val="24"/>
                <w:szCs w:val="24"/>
              </w:rPr>
            </w:pPr>
            <w:r>
              <w:rPr>
                <w:rFonts w:hint="eastAsia" w:ascii="黑体" w:hAnsi="黑体" w:eastAsia="黑体" w:cs="黑体"/>
                <w:b w:val="0"/>
                <w:bCs/>
                <w:color w:val="auto"/>
                <w:kern w:val="0"/>
                <w:sz w:val="24"/>
                <w:szCs w:val="24"/>
              </w:rPr>
              <w:t>易燃程度</w:t>
            </w:r>
          </w:p>
        </w:tc>
        <w:tc>
          <w:tcPr>
            <w:tcW w:w="1789" w:type="dxa"/>
            <w:tcBorders>
              <w:tl2br w:val="nil"/>
              <w:tr2bl w:val="nil"/>
            </w:tcBorders>
            <w:shd w:val="clear" w:color="auto" w:fill="auto"/>
            <w:vAlign w:val="center"/>
          </w:tcPr>
          <w:p>
            <w:pPr>
              <w:pageBreakBefore w:val="0"/>
              <w:widowControl w:val="0"/>
              <w:kinsoku/>
              <w:wordWrap/>
              <w:overflowPunct/>
              <w:topLinePunct w:val="0"/>
              <w:autoSpaceDE/>
              <w:autoSpaceDN/>
              <w:bidi w:val="0"/>
              <w:spacing w:line="360" w:lineRule="auto"/>
              <w:jc w:val="center"/>
              <w:textAlignment w:val="auto"/>
              <w:outlineLvl w:val="9"/>
              <w:rPr>
                <w:rFonts w:hint="eastAsia" w:ascii="黑体" w:hAnsi="黑体" w:eastAsia="黑体" w:cs="黑体"/>
                <w:b w:val="0"/>
                <w:bCs/>
                <w:color w:val="auto"/>
                <w:kern w:val="0"/>
                <w:sz w:val="24"/>
                <w:szCs w:val="24"/>
              </w:rPr>
            </w:pPr>
            <w:r>
              <w:rPr>
                <w:rFonts w:hint="eastAsia" w:ascii="黑体" w:hAnsi="黑体" w:eastAsia="黑体" w:cs="黑体"/>
                <w:b w:val="0"/>
                <w:bCs/>
                <w:color w:val="auto"/>
                <w:kern w:val="0"/>
                <w:sz w:val="24"/>
                <w:szCs w:val="24"/>
              </w:rPr>
              <w:t>蔓延程度</w:t>
            </w:r>
          </w:p>
        </w:tc>
        <w:tc>
          <w:tcPr>
            <w:tcW w:w="1686" w:type="dxa"/>
            <w:tcBorders>
              <w:tl2br w:val="nil"/>
              <w:tr2bl w:val="nil"/>
            </w:tcBorders>
            <w:shd w:val="clear" w:color="auto" w:fill="auto"/>
            <w:vAlign w:val="center"/>
          </w:tcPr>
          <w:p>
            <w:pPr>
              <w:pageBreakBefore w:val="0"/>
              <w:widowControl w:val="0"/>
              <w:kinsoku/>
              <w:wordWrap/>
              <w:overflowPunct/>
              <w:topLinePunct w:val="0"/>
              <w:autoSpaceDE/>
              <w:autoSpaceDN/>
              <w:bidi w:val="0"/>
              <w:spacing w:line="360" w:lineRule="auto"/>
              <w:jc w:val="center"/>
              <w:textAlignment w:val="auto"/>
              <w:outlineLvl w:val="9"/>
              <w:rPr>
                <w:rFonts w:hint="eastAsia" w:ascii="黑体" w:hAnsi="黑体" w:eastAsia="黑体" w:cs="黑体"/>
                <w:b w:val="0"/>
                <w:bCs/>
                <w:color w:val="auto"/>
                <w:kern w:val="0"/>
                <w:sz w:val="24"/>
                <w:szCs w:val="24"/>
              </w:rPr>
            </w:pPr>
            <w:r>
              <w:rPr>
                <w:rFonts w:hint="eastAsia" w:ascii="黑体" w:hAnsi="黑体" w:eastAsia="黑体" w:cs="黑体"/>
                <w:b w:val="0"/>
                <w:bCs/>
                <w:color w:val="auto"/>
                <w:kern w:val="0"/>
                <w:sz w:val="24"/>
                <w:szCs w:val="24"/>
              </w:rPr>
              <w:t>预警信号</w:t>
            </w:r>
          </w:p>
          <w:p>
            <w:pPr>
              <w:pageBreakBefore w:val="0"/>
              <w:widowControl w:val="0"/>
              <w:kinsoku/>
              <w:wordWrap/>
              <w:overflowPunct/>
              <w:topLinePunct w:val="0"/>
              <w:autoSpaceDE/>
              <w:autoSpaceDN/>
              <w:bidi w:val="0"/>
              <w:spacing w:line="360" w:lineRule="auto"/>
              <w:jc w:val="center"/>
              <w:textAlignment w:val="auto"/>
              <w:outlineLvl w:val="9"/>
              <w:rPr>
                <w:rFonts w:hint="eastAsia" w:ascii="黑体" w:hAnsi="黑体" w:eastAsia="黑体" w:cs="黑体"/>
                <w:b w:val="0"/>
                <w:bCs/>
                <w:color w:val="auto"/>
                <w:kern w:val="0"/>
                <w:sz w:val="24"/>
                <w:szCs w:val="24"/>
              </w:rPr>
            </w:pPr>
            <w:r>
              <w:rPr>
                <w:rFonts w:hint="eastAsia" w:ascii="黑体" w:hAnsi="黑体" w:eastAsia="黑体" w:cs="黑体"/>
                <w:b w:val="0"/>
                <w:bCs/>
                <w:color w:val="auto"/>
                <w:kern w:val="0"/>
                <w:sz w:val="24"/>
                <w:szCs w:val="24"/>
              </w:rPr>
              <w:t>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Borders>
              <w:tl2br w:val="nil"/>
              <w:tr2bl w:val="nil"/>
            </w:tcBorders>
            <w:shd w:val="clear" w:color="auto" w:fill="auto"/>
            <w:vAlign w:val="center"/>
          </w:tcPr>
          <w:p>
            <w:pPr>
              <w:pageBreakBefore w:val="0"/>
              <w:widowControl w:val="0"/>
              <w:kinsoku/>
              <w:wordWrap/>
              <w:overflowPunct/>
              <w:topLinePunct w:val="0"/>
              <w:autoSpaceDE/>
              <w:autoSpaceDN/>
              <w:bidi w:val="0"/>
              <w:spacing w:line="360" w:lineRule="auto"/>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一</w:t>
            </w:r>
          </w:p>
        </w:tc>
        <w:tc>
          <w:tcPr>
            <w:tcW w:w="1789" w:type="dxa"/>
            <w:tcBorders>
              <w:tl2br w:val="nil"/>
              <w:tr2bl w:val="nil"/>
            </w:tcBorders>
            <w:shd w:val="clear" w:color="auto" w:fill="auto"/>
            <w:vAlign w:val="center"/>
          </w:tcPr>
          <w:p>
            <w:pPr>
              <w:pageBreakBefore w:val="0"/>
              <w:widowControl w:val="0"/>
              <w:kinsoku/>
              <w:wordWrap/>
              <w:overflowPunct/>
              <w:topLinePunct w:val="0"/>
              <w:autoSpaceDE/>
              <w:autoSpaceDN/>
              <w:bidi w:val="0"/>
              <w:spacing w:line="360" w:lineRule="auto"/>
              <w:jc w:val="center"/>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低度危险</w:t>
            </w:r>
          </w:p>
        </w:tc>
        <w:tc>
          <w:tcPr>
            <w:tcW w:w="1789" w:type="dxa"/>
            <w:tcBorders>
              <w:tl2br w:val="nil"/>
              <w:tr2bl w:val="nil"/>
            </w:tcBorders>
            <w:shd w:val="clear" w:color="auto" w:fill="auto"/>
            <w:vAlign w:val="center"/>
          </w:tcPr>
          <w:p>
            <w:pPr>
              <w:pageBreakBefore w:val="0"/>
              <w:widowControl w:val="0"/>
              <w:kinsoku/>
              <w:wordWrap/>
              <w:overflowPunct/>
              <w:topLinePunct w:val="0"/>
              <w:autoSpaceDE/>
              <w:autoSpaceDN/>
              <w:bidi w:val="0"/>
              <w:spacing w:line="360" w:lineRule="auto"/>
              <w:jc w:val="center"/>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不易燃烧</w:t>
            </w:r>
          </w:p>
        </w:tc>
        <w:tc>
          <w:tcPr>
            <w:tcW w:w="1789" w:type="dxa"/>
            <w:tcBorders>
              <w:tl2br w:val="nil"/>
              <w:tr2bl w:val="nil"/>
            </w:tcBorders>
            <w:shd w:val="clear" w:color="auto" w:fill="auto"/>
            <w:vAlign w:val="center"/>
          </w:tcPr>
          <w:p>
            <w:pPr>
              <w:pageBreakBefore w:val="0"/>
              <w:widowControl w:val="0"/>
              <w:kinsoku/>
              <w:wordWrap/>
              <w:overflowPunct/>
              <w:topLinePunct w:val="0"/>
              <w:autoSpaceDE/>
              <w:autoSpaceDN/>
              <w:bidi w:val="0"/>
              <w:spacing w:line="360" w:lineRule="auto"/>
              <w:jc w:val="center"/>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不易蔓延</w:t>
            </w:r>
          </w:p>
        </w:tc>
        <w:tc>
          <w:tcPr>
            <w:tcW w:w="1686" w:type="dxa"/>
            <w:tcBorders>
              <w:tl2br w:val="nil"/>
              <w:tr2bl w:val="nil"/>
            </w:tcBorders>
            <w:shd w:val="clear" w:color="auto" w:fill="auto"/>
            <w:vAlign w:val="center"/>
          </w:tcPr>
          <w:p>
            <w:pPr>
              <w:pageBreakBefore w:val="0"/>
              <w:widowControl w:val="0"/>
              <w:kinsoku/>
              <w:wordWrap/>
              <w:overflowPunct/>
              <w:topLinePunct w:val="0"/>
              <w:autoSpaceDE/>
              <w:autoSpaceDN/>
              <w:bidi w:val="0"/>
              <w:spacing w:line="360" w:lineRule="auto"/>
              <w:jc w:val="center"/>
              <w:textAlignment w:val="auto"/>
              <w:outlineLvl w:val="9"/>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Borders>
              <w:tl2br w:val="nil"/>
              <w:tr2bl w:val="nil"/>
            </w:tcBorders>
            <w:shd w:val="clear" w:color="auto" w:fill="auto"/>
            <w:vAlign w:val="center"/>
          </w:tcPr>
          <w:p>
            <w:pPr>
              <w:pageBreakBefore w:val="0"/>
              <w:widowControl w:val="0"/>
              <w:kinsoku/>
              <w:wordWrap/>
              <w:overflowPunct/>
              <w:topLinePunct w:val="0"/>
              <w:autoSpaceDE/>
              <w:autoSpaceDN/>
              <w:bidi w:val="0"/>
              <w:spacing w:line="360" w:lineRule="auto"/>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二</w:t>
            </w:r>
          </w:p>
        </w:tc>
        <w:tc>
          <w:tcPr>
            <w:tcW w:w="1789" w:type="dxa"/>
            <w:tcBorders>
              <w:tl2br w:val="nil"/>
              <w:tr2bl w:val="nil"/>
            </w:tcBorders>
            <w:shd w:val="clear" w:color="auto" w:fill="auto"/>
            <w:vAlign w:val="center"/>
          </w:tcPr>
          <w:p>
            <w:pPr>
              <w:pageBreakBefore w:val="0"/>
              <w:widowControl w:val="0"/>
              <w:kinsoku/>
              <w:wordWrap/>
              <w:overflowPunct/>
              <w:topLinePunct w:val="0"/>
              <w:autoSpaceDE/>
              <w:autoSpaceDN/>
              <w:bidi w:val="0"/>
              <w:spacing w:line="360" w:lineRule="auto"/>
              <w:jc w:val="center"/>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中度危险</w:t>
            </w:r>
          </w:p>
        </w:tc>
        <w:tc>
          <w:tcPr>
            <w:tcW w:w="1789" w:type="dxa"/>
            <w:tcBorders>
              <w:tl2br w:val="nil"/>
              <w:tr2bl w:val="nil"/>
            </w:tcBorders>
            <w:shd w:val="clear" w:color="auto" w:fill="auto"/>
            <w:vAlign w:val="center"/>
          </w:tcPr>
          <w:p>
            <w:pPr>
              <w:pageBreakBefore w:val="0"/>
              <w:widowControl w:val="0"/>
              <w:kinsoku/>
              <w:wordWrap/>
              <w:overflowPunct/>
              <w:topLinePunct w:val="0"/>
              <w:autoSpaceDE/>
              <w:autoSpaceDN/>
              <w:bidi w:val="0"/>
              <w:spacing w:line="360" w:lineRule="auto"/>
              <w:jc w:val="center"/>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可以燃烧</w:t>
            </w:r>
          </w:p>
        </w:tc>
        <w:tc>
          <w:tcPr>
            <w:tcW w:w="1789" w:type="dxa"/>
            <w:tcBorders>
              <w:tl2br w:val="nil"/>
              <w:tr2bl w:val="nil"/>
            </w:tcBorders>
            <w:shd w:val="clear" w:color="auto" w:fill="auto"/>
            <w:vAlign w:val="center"/>
          </w:tcPr>
          <w:p>
            <w:pPr>
              <w:pageBreakBefore w:val="0"/>
              <w:widowControl w:val="0"/>
              <w:kinsoku/>
              <w:wordWrap/>
              <w:overflowPunct/>
              <w:topLinePunct w:val="0"/>
              <w:autoSpaceDE/>
              <w:autoSpaceDN/>
              <w:bidi w:val="0"/>
              <w:spacing w:line="360" w:lineRule="auto"/>
              <w:jc w:val="center"/>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可以蔓延</w:t>
            </w:r>
          </w:p>
        </w:tc>
        <w:tc>
          <w:tcPr>
            <w:tcW w:w="1686" w:type="dxa"/>
            <w:tcBorders>
              <w:tl2br w:val="nil"/>
              <w:tr2bl w:val="nil"/>
            </w:tcBorders>
            <w:shd w:val="clear" w:color="auto" w:fill="auto"/>
            <w:vAlign w:val="center"/>
          </w:tcPr>
          <w:p>
            <w:pPr>
              <w:pageBreakBefore w:val="0"/>
              <w:widowControl w:val="0"/>
              <w:kinsoku/>
              <w:wordWrap/>
              <w:overflowPunct/>
              <w:topLinePunct w:val="0"/>
              <w:autoSpaceDE/>
              <w:autoSpaceDN/>
              <w:bidi w:val="0"/>
              <w:spacing w:line="360" w:lineRule="auto"/>
              <w:jc w:val="center"/>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蓝色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Borders>
              <w:tl2br w:val="nil"/>
              <w:tr2bl w:val="nil"/>
            </w:tcBorders>
            <w:shd w:val="clear" w:color="auto" w:fill="auto"/>
            <w:vAlign w:val="center"/>
          </w:tcPr>
          <w:p>
            <w:pPr>
              <w:pageBreakBefore w:val="0"/>
              <w:widowControl w:val="0"/>
              <w:kinsoku/>
              <w:wordWrap/>
              <w:overflowPunct/>
              <w:topLinePunct w:val="0"/>
              <w:autoSpaceDE/>
              <w:autoSpaceDN/>
              <w:bidi w:val="0"/>
              <w:spacing w:line="360" w:lineRule="auto"/>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三</w:t>
            </w:r>
          </w:p>
        </w:tc>
        <w:tc>
          <w:tcPr>
            <w:tcW w:w="1789" w:type="dxa"/>
            <w:tcBorders>
              <w:tl2br w:val="nil"/>
              <w:tr2bl w:val="nil"/>
            </w:tcBorders>
            <w:shd w:val="clear" w:color="auto" w:fill="auto"/>
            <w:vAlign w:val="center"/>
          </w:tcPr>
          <w:p>
            <w:pPr>
              <w:pageBreakBefore w:val="0"/>
              <w:widowControl w:val="0"/>
              <w:kinsoku/>
              <w:wordWrap/>
              <w:overflowPunct/>
              <w:topLinePunct w:val="0"/>
              <w:autoSpaceDE/>
              <w:autoSpaceDN/>
              <w:bidi w:val="0"/>
              <w:spacing w:line="360" w:lineRule="auto"/>
              <w:jc w:val="center"/>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较高危险</w:t>
            </w:r>
          </w:p>
        </w:tc>
        <w:tc>
          <w:tcPr>
            <w:tcW w:w="1789" w:type="dxa"/>
            <w:tcBorders>
              <w:tl2br w:val="nil"/>
              <w:tr2bl w:val="nil"/>
            </w:tcBorders>
            <w:shd w:val="clear" w:color="auto" w:fill="auto"/>
            <w:vAlign w:val="center"/>
          </w:tcPr>
          <w:p>
            <w:pPr>
              <w:pageBreakBefore w:val="0"/>
              <w:widowControl w:val="0"/>
              <w:kinsoku/>
              <w:wordWrap/>
              <w:overflowPunct/>
              <w:topLinePunct w:val="0"/>
              <w:autoSpaceDE/>
              <w:autoSpaceDN/>
              <w:bidi w:val="0"/>
              <w:spacing w:line="360" w:lineRule="auto"/>
              <w:jc w:val="center"/>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较易燃烧</w:t>
            </w:r>
          </w:p>
        </w:tc>
        <w:tc>
          <w:tcPr>
            <w:tcW w:w="1789" w:type="dxa"/>
            <w:tcBorders>
              <w:tl2br w:val="nil"/>
              <w:tr2bl w:val="nil"/>
            </w:tcBorders>
            <w:shd w:val="clear" w:color="auto" w:fill="auto"/>
            <w:vAlign w:val="center"/>
          </w:tcPr>
          <w:p>
            <w:pPr>
              <w:pageBreakBefore w:val="0"/>
              <w:widowControl w:val="0"/>
              <w:kinsoku/>
              <w:wordWrap/>
              <w:overflowPunct/>
              <w:topLinePunct w:val="0"/>
              <w:autoSpaceDE/>
              <w:autoSpaceDN/>
              <w:bidi w:val="0"/>
              <w:spacing w:line="360" w:lineRule="auto"/>
              <w:jc w:val="center"/>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较易蔓延</w:t>
            </w:r>
          </w:p>
        </w:tc>
        <w:tc>
          <w:tcPr>
            <w:tcW w:w="1686" w:type="dxa"/>
            <w:tcBorders>
              <w:tl2br w:val="nil"/>
              <w:tr2bl w:val="nil"/>
            </w:tcBorders>
            <w:shd w:val="clear" w:color="auto" w:fill="auto"/>
            <w:vAlign w:val="center"/>
          </w:tcPr>
          <w:p>
            <w:pPr>
              <w:pageBreakBefore w:val="0"/>
              <w:widowControl w:val="0"/>
              <w:kinsoku/>
              <w:wordWrap/>
              <w:overflowPunct/>
              <w:topLinePunct w:val="0"/>
              <w:autoSpaceDE/>
              <w:autoSpaceDN/>
              <w:bidi w:val="0"/>
              <w:spacing w:line="360" w:lineRule="auto"/>
              <w:jc w:val="center"/>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Borders>
              <w:tl2br w:val="nil"/>
              <w:tr2bl w:val="nil"/>
            </w:tcBorders>
            <w:shd w:val="clear" w:color="auto" w:fill="auto"/>
            <w:vAlign w:val="center"/>
          </w:tcPr>
          <w:p>
            <w:pPr>
              <w:pageBreakBefore w:val="0"/>
              <w:widowControl w:val="0"/>
              <w:kinsoku/>
              <w:wordWrap/>
              <w:overflowPunct/>
              <w:topLinePunct w:val="0"/>
              <w:autoSpaceDE/>
              <w:autoSpaceDN/>
              <w:bidi w:val="0"/>
              <w:spacing w:line="360" w:lineRule="auto"/>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四</w:t>
            </w:r>
          </w:p>
        </w:tc>
        <w:tc>
          <w:tcPr>
            <w:tcW w:w="1789" w:type="dxa"/>
            <w:tcBorders>
              <w:tl2br w:val="nil"/>
              <w:tr2bl w:val="nil"/>
            </w:tcBorders>
            <w:shd w:val="clear" w:color="auto" w:fill="auto"/>
            <w:vAlign w:val="center"/>
          </w:tcPr>
          <w:p>
            <w:pPr>
              <w:pageBreakBefore w:val="0"/>
              <w:widowControl w:val="0"/>
              <w:kinsoku/>
              <w:wordWrap/>
              <w:overflowPunct/>
              <w:topLinePunct w:val="0"/>
              <w:autoSpaceDE/>
              <w:autoSpaceDN/>
              <w:bidi w:val="0"/>
              <w:spacing w:line="360" w:lineRule="auto"/>
              <w:jc w:val="center"/>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高度危险</w:t>
            </w:r>
          </w:p>
        </w:tc>
        <w:tc>
          <w:tcPr>
            <w:tcW w:w="1789" w:type="dxa"/>
            <w:tcBorders>
              <w:tl2br w:val="nil"/>
              <w:tr2bl w:val="nil"/>
            </w:tcBorders>
            <w:shd w:val="clear" w:color="auto" w:fill="auto"/>
            <w:vAlign w:val="center"/>
          </w:tcPr>
          <w:p>
            <w:pPr>
              <w:pageBreakBefore w:val="0"/>
              <w:widowControl w:val="0"/>
              <w:kinsoku/>
              <w:wordWrap/>
              <w:overflowPunct/>
              <w:topLinePunct w:val="0"/>
              <w:autoSpaceDE/>
              <w:autoSpaceDN/>
              <w:bidi w:val="0"/>
              <w:spacing w:line="360" w:lineRule="auto"/>
              <w:jc w:val="center"/>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容易燃烧</w:t>
            </w:r>
          </w:p>
        </w:tc>
        <w:tc>
          <w:tcPr>
            <w:tcW w:w="1789" w:type="dxa"/>
            <w:tcBorders>
              <w:tl2br w:val="nil"/>
              <w:tr2bl w:val="nil"/>
            </w:tcBorders>
            <w:shd w:val="clear" w:color="auto" w:fill="auto"/>
            <w:vAlign w:val="center"/>
          </w:tcPr>
          <w:p>
            <w:pPr>
              <w:pageBreakBefore w:val="0"/>
              <w:widowControl w:val="0"/>
              <w:kinsoku/>
              <w:wordWrap/>
              <w:overflowPunct/>
              <w:topLinePunct w:val="0"/>
              <w:autoSpaceDE/>
              <w:autoSpaceDN/>
              <w:bidi w:val="0"/>
              <w:spacing w:line="360" w:lineRule="auto"/>
              <w:jc w:val="center"/>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容易蔓延</w:t>
            </w:r>
          </w:p>
        </w:tc>
        <w:tc>
          <w:tcPr>
            <w:tcW w:w="1686" w:type="dxa"/>
            <w:tcBorders>
              <w:tl2br w:val="nil"/>
              <w:tr2bl w:val="nil"/>
            </w:tcBorders>
            <w:shd w:val="clear" w:color="auto" w:fill="auto"/>
            <w:vAlign w:val="center"/>
          </w:tcPr>
          <w:p>
            <w:pPr>
              <w:pageBreakBefore w:val="0"/>
              <w:widowControl w:val="0"/>
              <w:kinsoku/>
              <w:wordWrap/>
              <w:overflowPunct/>
              <w:topLinePunct w:val="0"/>
              <w:autoSpaceDE/>
              <w:autoSpaceDN/>
              <w:bidi w:val="0"/>
              <w:spacing w:line="360" w:lineRule="auto"/>
              <w:jc w:val="center"/>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橙色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tcBorders>
              <w:tl2br w:val="nil"/>
              <w:tr2bl w:val="nil"/>
            </w:tcBorders>
            <w:shd w:val="clear" w:color="auto" w:fill="auto"/>
            <w:vAlign w:val="center"/>
          </w:tcPr>
          <w:p>
            <w:pPr>
              <w:pageBreakBefore w:val="0"/>
              <w:widowControl w:val="0"/>
              <w:kinsoku/>
              <w:wordWrap/>
              <w:overflowPunct/>
              <w:topLinePunct w:val="0"/>
              <w:autoSpaceDE/>
              <w:autoSpaceDN/>
              <w:bidi w:val="0"/>
              <w:spacing w:line="360" w:lineRule="auto"/>
              <w:jc w:val="center"/>
              <w:textAlignment w:val="auto"/>
              <w:outlineLvl w:val="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五</w:t>
            </w:r>
          </w:p>
        </w:tc>
        <w:tc>
          <w:tcPr>
            <w:tcW w:w="1789" w:type="dxa"/>
            <w:tcBorders>
              <w:tl2br w:val="nil"/>
              <w:tr2bl w:val="nil"/>
            </w:tcBorders>
            <w:shd w:val="clear" w:color="auto" w:fill="auto"/>
            <w:vAlign w:val="center"/>
          </w:tcPr>
          <w:p>
            <w:pPr>
              <w:pageBreakBefore w:val="0"/>
              <w:widowControl w:val="0"/>
              <w:kinsoku/>
              <w:wordWrap/>
              <w:overflowPunct/>
              <w:topLinePunct w:val="0"/>
              <w:autoSpaceDE/>
              <w:autoSpaceDN/>
              <w:bidi w:val="0"/>
              <w:spacing w:line="360" w:lineRule="auto"/>
              <w:jc w:val="center"/>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极度危险</w:t>
            </w:r>
          </w:p>
        </w:tc>
        <w:tc>
          <w:tcPr>
            <w:tcW w:w="1789" w:type="dxa"/>
            <w:tcBorders>
              <w:tl2br w:val="nil"/>
              <w:tr2bl w:val="nil"/>
            </w:tcBorders>
            <w:shd w:val="clear" w:color="auto" w:fill="auto"/>
            <w:vAlign w:val="center"/>
          </w:tcPr>
          <w:p>
            <w:pPr>
              <w:pageBreakBefore w:val="0"/>
              <w:widowControl w:val="0"/>
              <w:kinsoku/>
              <w:wordWrap/>
              <w:overflowPunct/>
              <w:topLinePunct w:val="0"/>
              <w:autoSpaceDE/>
              <w:autoSpaceDN/>
              <w:bidi w:val="0"/>
              <w:spacing w:line="360" w:lineRule="auto"/>
              <w:jc w:val="center"/>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极易燃烧</w:t>
            </w:r>
          </w:p>
        </w:tc>
        <w:tc>
          <w:tcPr>
            <w:tcW w:w="1789" w:type="dxa"/>
            <w:tcBorders>
              <w:tl2br w:val="nil"/>
              <w:tr2bl w:val="nil"/>
            </w:tcBorders>
            <w:shd w:val="clear" w:color="auto" w:fill="auto"/>
            <w:vAlign w:val="center"/>
          </w:tcPr>
          <w:p>
            <w:pPr>
              <w:pageBreakBefore w:val="0"/>
              <w:widowControl w:val="0"/>
              <w:kinsoku/>
              <w:wordWrap/>
              <w:overflowPunct/>
              <w:topLinePunct w:val="0"/>
              <w:autoSpaceDE/>
              <w:autoSpaceDN/>
              <w:bidi w:val="0"/>
              <w:spacing w:line="360" w:lineRule="auto"/>
              <w:jc w:val="center"/>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极易蔓延</w:t>
            </w:r>
          </w:p>
        </w:tc>
        <w:tc>
          <w:tcPr>
            <w:tcW w:w="1686" w:type="dxa"/>
            <w:tcBorders>
              <w:tl2br w:val="nil"/>
              <w:tr2bl w:val="nil"/>
            </w:tcBorders>
            <w:shd w:val="clear" w:color="auto" w:fill="auto"/>
            <w:vAlign w:val="center"/>
          </w:tcPr>
          <w:p>
            <w:pPr>
              <w:pageBreakBefore w:val="0"/>
              <w:widowControl w:val="0"/>
              <w:kinsoku/>
              <w:wordWrap/>
              <w:overflowPunct/>
              <w:topLinePunct w:val="0"/>
              <w:autoSpaceDE/>
              <w:autoSpaceDN/>
              <w:bidi w:val="0"/>
              <w:spacing w:line="360" w:lineRule="auto"/>
              <w:jc w:val="center"/>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红色</w:t>
            </w:r>
          </w:p>
        </w:tc>
      </w:tr>
    </w:tbl>
    <w:p>
      <w:pPr>
        <w:pageBreakBefore w:val="0"/>
        <w:widowControl w:val="0"/>
        <w:kinsoku/>
        <w:wordWrap/>
        <w:overflowPunct/>
        <w:topLinePunct w:val="0"/>
        <w:autoSpaceDE/>
        <w:autoSpaceDN/>
        <w:bidi w:val="0"/>
        <w:spacing w:line="360" w:lineRule="auto"/>
        <w:ind w:firstLine="140" w:firstLineChars="50"/>
        <w:textAlignment w:val="auto"/>
        <w:outlineLvl w:val="9"/>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注：一级森林草原火险等级不发布预警信号颜色。</w:t>
      </w:r>
    </w:p>
    <w:p>
      <w:pPr>
        <w:pageBreakBefore w:val="0"/>
        <w:widowControl w:val="0"/>
        <w:kinsoku/>
        <w:wordWrap/>
        <w:overflowPunct/>
        <w:topLinePunct w:val="0"/>
        <w:autoSpaceDE/>
        <w:autoSpaceDN/>
        <w:bidi w:val="0"/>
        <w:spacing w:line="360" w:lineRule="auto"/>
        <w:jc w:val="left"/>
        <w:textAlignment w:val="auto"/>
        <w:outlineLvl w:val="9"/>
        <w:rPr>
          <w:rFonts w:hint="eastAsia" w:ascii="仿宋" w:hAnsi="仿宋" w:eastAsia="仿宋" w:cs="仿宋"/>
          <w:b/>
          <w:bCs/>
          <w:color w:val="auto"/>
          <w:kern w:val="0"/>
          <w:sz w:val="28"/>
          <w:szCs w:val="28"/>
        </w:rPr>
        <w:sectPr>
          <w:pgSz w:w="11906" w:h="16838"/>
          <w:pgMar w:top="1304" w:right="1474" w:bottom="1304" w:left="1474"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313" w:afterLines="100" w:line="360" w:lineRule="auto"/>
        <w:ind w:firstLine="640" w:firstLineChars="200"/>
        <w:jc w:val="both"/>
        <w:textAlignment w:val="auto"/>
        <w:outlineLvl w:val="1"/>
        <w:rPr>
          <w:rFonts w:hint="eastAsia" w:ascii="黑体" w:eastAsia="黑体"/>
          <w:bCs/>
          <w:color w:val="auto"/>
          <w:kern w:val="44"/>
          <w:sz w:val="32"/>
          <w:szCs w:val="44"/>
          <w:lang w:val="en-US" w:eastAsia="zh-CN"/>
        </w:rPr>
      </w:pPr>
      <w:bookmarkStart w:id="214" w:name="_Toc27045"/>
      <w:r>
        <w:rPr>
          <w:rFonts w:hint="eastAsia" w:ascii="黑体" w:eastAsia="黑体"/>
          <w:bCs/>
          <w:color w:val="auto"/>
          <w:kern w:val="44"/>
          <w:sz w:val="32"/>
          <w:szCs w:val="44"/>
          <w:lang w:val="en-US" w:eastAsia="zh-CN"/>
        </w:rPr>
        <w:t>附件5 新城区森林草原专业和半专业队伍基本情况</w:t>
      </w:r>
      <w:bookmarkEnd w:id="214"/>
    </w:p>
    <w:p>
      <w:pPr>
        <w:keepNext w:val="0"/>
        <w:keepLines w:val="0"/>
        <w:pageBreakBefore w:val="0"/>
        <w:widowControl w:val="0"/>
        <w:kinsoku/>
        <w:wordWrap/>
        <w:overflowPunct/>
        <w:topLinePunct w:val="0"/>
        <w:autoSpaceDE/>
        <w:autoSpaceDN/>
        <w:bidi w:val="0"/>
        <w:snapToGrid/>
        <w:spacing w:line="360" w:lineRule="auto"/>
        <w:ind w:firstLine="675" w:firstLineChars="200"/>
        <w:jc w:val="both"/>
        <w:textAlignment w:val="auto"/>
        <w:outlineLvl w:val="9"/>
        <w:rPr>
          <w:rFonts w:hint="eastAsia" w:ascii="仿宋_GB2312" w:hAnsi="仿宋_GB2312" w:eastAsia="仿宋_GB2312" w:cs="仿宋_GB2312"/>
          <w:b/>
          <w:bCs/>
          <w:color w:val="auto"/>
          <w:spacing w:val="8"/>
          <w:kern w:val="0"/>
          <w:sz w:val="32"/>
          <w:szCs w:val="32"/>
        </w:rPr>
      </w:pPr>
      <w:r>
        <w:rPr>
          <w:rFonts w:hint="eastAsia" w:ascii="仿宋_GB2312" w:hAnsi="仿宋_GB2312" w:eastAsia="仿宋_GB2312" w:cs="仿宋_GB2312"/>
          <w:b/>
          <w:bCs/>
          <w:color w:val="auto"/>
          <w:spacing w:val="8"/>
          <w:kern w:val="0"/>
          <w:sz w:val="32"/>
          <w:szCs w:val="32"/>
          <w:lang w:val="en-US" w:eastAsia="zh-CN"/>
        </w:rPr>
        <w:t xml:space="preserve">1 </w:t>
      </w:r>
      <w:r>
        <w:rPr>
          <w:rFonts w:hint="eastAsia" w:ascii="仿宋_GB2312" w:hAnsi="仿宋_GB2312" w:eastAsia="仿宋_GB2312" w:cs="仿宋_GB2312"/>
          <w:b/>
          <w:bCs/>
          <w:color w:val="auto"/>
          <w:spacing w:val="8"/>
          <w:kern w:val="0"/>
          <w:sz w:val="32"/>
          <w:szCs w:val="32"/>
        </w:rPr>
        <w:t>专业救援队伍情况</w:t>
      </w:r>
    </w:p>
    <w:p>
      <w:pPr>
        <w:keepNext w:val="0"/>
        <w:keepLines w:val="0"/>
        <w:pageBreakBefore w:val="0"/>
        <w:widowControl w:val="0"/>
        <w:kinsoku/>
        <w:wordWrap/>
        <w:overflowPunct/>
        <w:topLinePunct w:val="0"/>
        <w:autoSpaceDE/>
        <w:autoSpaceDN/>
        <w:bidi w:val="0"/>
        <w:snapToGrid/>
        <w:spacing w:line="360" w:lineRule="auto"/>
        <w:ind w:firstLine="672" w:firstLineChars="200"/>
        <w:jc w:val="both"/>
        <w:textAlignment w:val="auto"/>
        <w:outlineLvl w:val="9"/>
        <w:rPr>
          <w:rFonts w:hint="eastAsia" w:ascii="仿宋_GB2312" w:hAnsi="仿宋_GB2312" w:eastAsia="仿宋_GB2312" w:cs="仿宋_GB2312"/>
          <w:color w:val="auto"/>
          <w:spacing w:val="8"/>
          <w:kern w:val="0"/>
          <w:sz w:val="32"/>
          <w:szCs w:val="32"/>
        </w:rPr>
      </w:pPr>
      <w:r>
        <w:rPr>
          <w:rFonts w:hint="eastAsia" w:ascii="仿宋_GB2312" w:hAnsi="仿宋_GB2312" w:eastAsia="仿宋_GB2312" w:cs="仿宋_GB2312"/>
          <w:color w:val="auto"/>
          <w:spacing w:val="8"/>
          <w:kern w:val="0"/>
          <w:sz w:val="32"/>
          <w:szCs w:val="32"/>
        </w:rPr>
        <w:t>新城区现有专业救援队伍一支77人，隶属新城区应急管理局应急指挥中心，主要从事森林草原灭火和其他综合应急救援任务。</w:t>
      </w:r>
    </w:p>
    <w:p>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672" w:firstLineChars="200"/>
        <w:jc w:val="both"/>
        <w:textAlignment w:val="auto"/>
        <w:rPr>
          <w:rFonts w:hint="default" w:ascii="仿宋_GB2312" w:hAnsi="仿宋_GB2312" w:eastAsia="仿宋_GB2312" w:cs="仿宋_GB2312"/>
          <w:b w:val="0"/>
          <w:bCs w:val="0"/>
          <w:color w:val="auto"/>
          <w:spacing w:val="8"/>
          <w:kern w:val="0"/>
          <w:sz w:val="32"/>
          <w:szCs w:val="32"/>
          <w:lang w:val="en-US" w:eastAsia="zh-CN" w:bidi="ar-SA"/>
        </w:rPr>
      </w:pPr>
      <w:bookmarkStart w:id="215" w:name="_Toc21408"/>
      <w:bookmarkStart w:id="216" w:name="_Toc11692"/>
      <w:bookmarkStart w:id="217" w:name="_Toc2029"/>
      <w:bookmarkStart w:id="218" w:name="_Toc27988"/>
      <w:bookmarkStart w:id="219" w:name="_Toc6039"/>
      <w:bookmarkStart w:id="220" w:name="_Toc16337"/>
      <w:r>
        <w:rPr>
          <w:rFonts w:hint="eastAsia" w:ascii="仿宋_GB2312" w:hAnsi="仿宋_GB2312" w:eastAsia="仿宋_GB2312" w:cs="仿宋_GB2312"/>
          <w:b w:val="0"/>
          <w:bCs w:val="0"/>
          <w:color w:val="auto"/>
          <w:spacing w:val="8"/>
          <w:kern w:val="0"/>
          <w:sz w:val="32"/>
          <w:szCs w:val="32"/>
          <w:lang w:val="en-US" w:eastAsia="zh-CN" w:bidi="ar-SA"/>
        </w:rPr>
        <w:t xml:space="preserve">负责人：李燕兵            </w:t>
      </w:r>
      <w:bookmarkEnd w:id="215"/>
      <w:bookmarkEnd w:id="216"/>
      <w:bookmarkEnd w:id="217"/>
      <w:bookmarkEnd w:id="218"/>
      <w:bookmarkEnd w:id="219"/>
      <w:bookmarkEnd w:id="220"/>
    </w:p>
    <w:p>
      <w:pPr>
        <w:keepNext w:val="0"/>
        <w:keepLines w:val="0"/>
        <w:pageBreakBefore w:val="0"/>
        <w:widowControl w:val="0"/>
        <w:kinsoku/>
        <w:wordWrap/>
        <w:overflowPunct/>
        <w:topLinePunct w:val="0"/>
        <w:autoSpaceDE/>
        <w:autoSpaceDN/>
        <w:bidi w:val="0"/>
        <w:snapToGrid/>
        <w:spacing w:line="360" w:lineRule="auto"/>
        <w:ind w:firstLine="675" w:firstLineChars="200"/>
        <w:jc w:val="both"/>
        <w:textAlignment w:val="auto"/>
        <w:outlineLvl w:val="9"/>
        <w:rPr>
          <w:rFonts w:hint="eastAsia" w:ascii="仿宋_GB2312" w:hAnsi="仿宋_GB2312" w:eastAsia="仿宋_GB2312" w:cs="仿宋_GB2312"/>
          <w:b/>
          <w:bCs/>
          <w:color w:val="auto"/>
          <w:spacing w:val="8"/>
          <w:kern w:val="0"/>
          <w:sz w:val="32"/>
          <w:szCs w:val="32"/>
        </w:rPr>
      </w:pPr>
      <w:r>
        <w:rPr>
          <w:rFonts w:hint="eastAsia" w:ascii="仿宋_GB2312" w:hAnsi="仿宋_GB2312" w:eastAsia="仿宋_GB2312" w:cs="仿宋_GB2312"/>
          <w:b/>
          <w:bCs/>
          <w:color w:val="auto"/>
          <w:spacing w:val="8"/>
          <w:kern w:val="0"/>
          <w:sz w:val="32"/>
          <w:szCs w:val="32"/>
          <w:lang w:val="en-US" w:eastAsia="zh-CN"/>
        </w:rPr>
        <w:t xml:space="preserve">2 </w:t>
      </w:r>
      <w:r>
        <w:rPr>
          <w:rFonts w:hint="eastAsia" w:ascii="仿宋_GB2312" w:hAnsi="仿宋_GB2312" w:eastAsia="仿宋_GB2312" w:cs="仿宋_GB2312"/>
          <w:b/>
          <w:bCs/>
          <w:color w:val="auto"/>
          <w:spacing w:val="8"/>
          <w:kern w:val="0"/>
          <w:sz w:val="32"/>
          <w:szCs w:val="32"/>
        </w:rPr>
        <w:t>半专业队伍情况</w:t>
      </w:r>
    </w:p>
    <w:p>
      <w:pPr>
        <w:keepNext w:val="0"/>
        <w:keepLines w:val="0"/>
        <w:pageBreakBefore w:val="0"/>
        <w:widowControl w:val="0"/>
        <w:kinsoku/>
        <w:wordWrap/>
        <w:overflowPunct/>
        <w:topLinePunct w:val="0"/>
        <w:autoSpaceDE/>
        <w:autoSpaceDN/>
        <w:bidi w:val="0"/>
        <w:snapToGrid/>
        <w:spacing w:line="360" w:lineRule="auto"/>
        <w:ind w:firstLine="672" w:firstLineChars="200"/>
        <w:jc w:val="both"/>
        <w:textAlignment w:val="auto"/>
        <w:outlineLvl w:val="9"/>
        <w:rPr>
          <w:rFonts w:hint="eastAsia" w:ascii="仿宋_GB2312" w:hAnsi="仿宋_GB2312" w:eastAsia="仿宋_GB2312" w:cs="仿宋_GB2312"/>
          <w:color w:val="auto"/>
          <w:spacing w:val="8"/>
          <w:kern w:val="0"/>
          <w:sz w:val="32"/>
          <w:szCs w:val="32"/>
        </w:rPr>
      </w:pPr>
      <w:r>
        <w:rPr>
          <w:rFonts w:hint="eastAsia" w:ascii="仿宋_GB2312" w:hAnsi="仿宋_GB2312" w:eastAsia="仿宋_GB2312" w:cs="仿宋_GB2312"/>
          <w:color w:val="auto"/>
          <w:spacing w:val="8"/>
          <w:kern w:val="0"/>
          <w:sz w:val="32"/>
          <w:szCs w:val="32"/>
        </w:rPr>
        <w:t>半专业救援队伍主要依托保合少镇、成吉思汗大街街道办事处组建，当前保合少镇半专业队伍155人，成吉思汗大街街道办事处半专业队伍66人。</w:t>
      </w:r>
    </w:p>
    <w:p>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672" w:firstLineChars="200"/>
        <w:jc w:val="both"/>
        <w:textAlignment w:val="auto"/>
        <w:rPr>
          <w:rFonts w:hint="eastAsia" w:ascii="仿宋_GB2312" w:hAnsi="仿宋_GB2312" w:eastAsia="仿宋_GB2312" w:cs="仿宋_GB2312"/>
          <w:b w:val="0"/>
          <w:bCs w:val="0"/>
          <w:color w:val="auto"/>
          <w:spacing w:val="8"/>
          <w:kern w:val="0"/>
          <w:sz w:val="32"/>
          <w:szCs w:val="32"/>
          <w:lang w:val="en-US" w:eastAsia="zh-CN" w:bidi="ar-SA"/>
        </w:rPr>
      </w:pPr>
      <w:bookmarkStart w:id="221" w:name="_Toc15375"/>
      <w:bookmarkStart w:id="222" w:name="_Toc13519"/>
      <w:bookmarkStart w:id="223" w:name="_Toc25058"/>
      <w:bookmarkStart w:id="224" w:name="_Toc23235"/>
      <w:bookmarkStart w:id="225" w:name="_Toc20780"/>
      <w:bookmarkStart w:id="226" w:name="_Toc21650"/>
      <w:r>
        <w:rPr>
          <w:rFonts w:hint="eastAsia" w:ascii="仿宋_GB2312" w:hAnsi="仿宋_GB2312" w:eastAsia="仿宋_GB2312" w:cs="仿宋_GB2312"/>
          <w:b w:val="0"/>
          <w:bCs w:val="0"/>
          <w:color w:val="auto"/>
          <w:spacing w:val="8"/>
          <w:kern w:val="0"/>
          <w:sz w:val="32"/>
          <w:szCs w:val="32"/>
          <w:lang w:val="en-US" w:eastAsia="zh-CN" w:bidi="ar-SA"/>
        </w:rPr>
        <w:t>保合少镇</w:t>
      </w:r>
      <w:r>
        <w:rPr>
          <w:rFonts w:hint="eastAsia" w:ascii="仿宋_GB2312" w:hAnsi="仿宋_GB2312" w:eastAsia="仿宋_GB2312" w:cs="仿宋_GB2312"/>
          <w:b w:val="0"/>
          <w:bCs w:val="0"/>
          <w:color w:val="auto"/>
          <w:spacing w:val="8"/>
          <w:kern w:val="0"/>
          <w:sz w:val="32"/>
          <w:szCs w:val="32"/>
        </w:rPr>
        <w:t>半专业队伍</w:t>
      </w:r>
      <w:r>
        <w:rPr>
          <w:rFonts w:hint="eastAsia" w:ascii="仿宋_GB2312" w:hAnsi="仿宋_GB2312" w:eastAsia="仿宋_GB2312" w:cs="仿宋_GB2312"/>
          <w:b w:val="0"/>
          <w:bCs w:val="0"/>
          <w:color w:val="auto"/>
          <w:spacing w:val="8"/>
          <w:kern w:val="0"/>
          <w:sz w:val="32"/>
          <w:szCs w:val="32"/>
          <w:lang w:val="en-US" w:eastAsia="zh-CN" w:bidi="ar-SA"/>
        </w:rPr>
        <w:t>负责人：</w:t>
      </w:r>
      <w:bookmarkEnd w:id="221"/>
      <w:bookmarkEnd w:id="222"/>
      <w:bookmarkEnd w:id="223"/>
      <w:bookmarkStart w:id="227" w:name="_Toc7969"/>
      <w:bookmarkStart w:id="228" w:name="_Toc25383"/>
      <w:bookmarkStart w:id="229" w:name="_Toc2452"/>
      <w:r>
        <w:rPr>
          <w:rFonts w:hint="eastAsia" w:ascii="仿宋_GB2312" w:hAnsi="仿宋_GB2312" w:eastAsia="仿宋_GB2312" w:cs="仿宋_GB2312"/>
          <w:b w:val="0"/>
          <w:bCs w:val="0"/>
          <w:color w:val="auto"/>
          <w:spacing w:val="8"/>
          <w:kern w:val="0"/>
          <w:sz w:val="32"/>
          <w:szCs w:val="32"/>
          <w:lang w:val="en-US" w:eastAsia="zh-CN" w:bidi="ar-SA"/>
        </w:rPr>
        <w:t>邸海龙</w:t>
      </w:r>
      <w:bookmarkEnd w:id="224"/>
      <w:bookmarkEnd w:id="225"/>
      <w:bookmarkEnd w:id="226"/>
    </w:p>
    <w:bookmarkEnd w:id="227"/>
    <w:bookmarkEnd w:id="228"/>
    <w:bookmarkEnd w:id="229"/>
    <w:p>
      <w:pPr>
        <w:keepNext w:val="0"/>
        <w:keepLines w:val="0"/>
        <w:pageBreakBefore w:val="0"/>
        <w:widowControl w:val="0"/>
        <w:kinsoku/>
        <w:wordWrap/>
        <w:overflowPunct/>
        <w:topLinePunct w:val="0"/>
        <w:autoSpaceDE/>
        <w:autoSpaceDN/>
        <w:bidi w:val="0"/>
        <w:adjustRightInd/>
        <w:snapToGrid/>
        <w:spacing w:line="360" w:lineRule="auto"/>
        <w:ind w:firstLine="672" w:firstLineChars="200"/>
        <w:textAlignment w:val="auto"/>
        <w:rPr>
          <w:rFonts w:hint="eastAsia" w:ascii="仿宋_GB2312" w:hAnsi="仿宋_GB2312" w:eastAsia="仿宋_GB2312" w:cs="仿宋_GB2312"/>
          <w:b w:val="0"/>
          <w:bCs w:val="0"/>
          <w:color w:val="auto"/>
          <w:spacing w:val="8"/>
          <w:kern w:val="0"/>
          <w:sz w:val="32"/>
          <w:szCs w:val="32"/>
          <w:lang w:val="en-US" w:eastAsia="zh-CN" w:bidi="ar-SA"/>
        </w:rPr>
      </w:pPr>
      <w:r>
        <w:rPr>
          <w:rFonts w:hint="eastAsia" w:ascii="仿宋_GB2312" w:hAnsi="仿宋_GB2312" w:eastAsia="仿宋_GB2312" w:cs="仿宋_GB2312"/>
          <w:b w:val="0"/>
          <w:bCs w:val="0"/>
          <w:color w:val="auto"/>
          <w:spacing w:val="8"/>
          <w:kern w:val="0"/>
          <w:sz w:val="32"/>
          <w:szCs w:val="32"/>
          <w:lang w:val="en-US" w:eastAsia="zh-CN" w:bidi="ar-SA"/>
        </w:rPr>
        <w:t>成吉思汗大街街道办事处</w:t>
      </w:r>
      <w:r>
        <w:rPr>
          <w:rFonts w:hint="eastAsia" w:ascii="仿宋_GB2312" w:hAnsi="仿宋_GB2312" w:eastAsia="仿宋_GB2312" w:cs="仿宋_GB2312"/>
          <w:color w:val="auto"/>
          <w:spacing w:val="8"/>
          <w:kern w:val="0"/>
          <w:sz w:val="32"/>
          <w:szCs w:val="32"/>
        </w:rPr>
        <w:t>半专业队伍</w:t>
      </w:r>
      <w:r>
        <w:rPr>
          <w:rFonts w:hint="eastAsia" w:ascii="仿宋_GB2312" w:hAnsi="仿宋_GB2312" w:eastAsia="仿宋_GB2312" w:cs="仿宋_GB2312"/>
          <w:b w:val="0"/>
          <w:bCs w:val="0"/>
          <w:color w:val="auto"/>
          <w:spacing w:val="8"/>
          <w:kern w:val="0"/>
          <w:sz w:val="32"/>
          <w:szCs w:val="32"/>
          <w:lang w:val="en-US" w:eastAsia="zh-CN" w:bidi="ar-SA"/>
        </w:rPr>
        <w:t>负责人：王雪冰</w:t>
      </w:r>
    </w:p>
    <w:p>
      <w:pPr>
        <w:keepNext w:val="0"/>
        <w:keepLines w:val="0"/>
        <w:pageBreakBefore w:val="0"/>
        <w:widowControl w:val="0"/>
        <w:kinsoku/>
        <w:wordWrap/>
        <w:overflowPunct/>
        <w:topLinePunct w:val="0"/>
        <w:autoSpaceDE/>
        <w:autoSpaceDN/>
        <w:bidi w:val="0"/>
        <w:snapToGrid/>
        <w:spacing w:line="360" w:lineRule="auto"/>
        <w:ind w:firstLine="675" w:firstLineChars="200"/>
        <w:jc w:val="both"/>
        <w:textAlignment w:val="auto"/>
        <w:outlineLvl w:val="9"/>
        <w:rPr>
          <w:rFonts w:hint="eastAsia" w:ascii="仿宋_GB2312" w:hAnsi="仿宋_GB2312" w:eastAsia="仿宋_GB2312" w:cs="仿宋_GB2312"/>
          <w:b/>
          <w:bCs/>
          <w:color w:val="auto"/>
          <w:spacing w:val="8"/>
          <w:kern w:val="0"/>
          <w:sz w:val="32"/>
          <w:szCs w:val="32"/>
        </w:rPr>
      </w:pPr>
      <w:r>
        <w:rPr>
          <w:rFonts w:hint="eastAsia" w:ascii="仿宋_GB2312" w:hAnsi="仿宋_GB2312" w:eastAsia="仿宋_GB2312" w:cs="仿宋_GB2312"/>
          <w:b/>
          <w:bCs/>
          <w:color w:val="auto"/>
          <w:spacing w:val="8"/>
          <w:kern w:val="0"/>
          <w:sz w:val="32"/>
          <w:szCs w:val="32"/>
          <w:lang w:val="en-US" w:eastAsia="zh-CN"/>
        </w:rPr>
        <w:t xml:space="preserve">3 </w:t>
      </w:r>
      <w:r>
        <w:rPr>
          <w:rFonts w:hint="eastAsia" w:ascii="仿宋_GB2312" w:hAnsi="仿宋_GB2312" w:eastAsia="仿宋_GB2312" w:cs="仿宋_GB2312"/>
          <w:b/>
          <w:bCs/>
          <w:color w:val="auto"/>
          <w:spacing w:val="8"/>
          <w:kern w:val="0"/>
          <w:sz w:val="32"/>
          <w:szCs w:val="32"/>
        </w:rPr>
        <w:t>林草部门队伍情况</w:t>
      </w:r>
    </w:p>
    <w:p>
      <w:pPr>
        <w:keepNext w:val="0"/>
        <w:keepLines w:val="0"/>
        <w:pageBreakBefore w:val="0"/>
        <w:widowControl w:val="0"/>
        <w:kinsoku/>
        <w:wordWrap/>
        <w:overflowPunct/>
        <w:topLinePunct w:val="0"/>
        <w:autoSpaceDE/>
        <w:autoSpaceDN/>
        <w:bidi w:val="0"/>
        <w:snapToGrid/>
        <w:spacing w:line="360" w:lineRule="auto"/>
        <w:ind w:firstLine="672" w:firstLineChars="200"/>
        <w:jc w:val="both"/>
        <w:textAlignment w:val="auto"/>
        <w:outlineLvl w:val="9"/>
        <w:rPr>
          <w:rFonts w:hint="eastAsia" w:ascii="仿宋_GB2312" w:hAnsi="仿宋_GB2312" w:eastAsia="仿宋_GB2312" w:cs="仿宋_GB2312"/>
          <w:color w:val="auto"/>
          <w:spacing w:val="8"/>
          <w:kern w:val="0"/>
          <w:sz w:val="32"/>
          <w:szCs w:val="32"/>
        </w:rPr>
      </w:pPr>
      <w:r>
        <w:rPr>
          <w:rFonts w:hint="eastAsia" w:ascii="仿宋_GB2312" w:hAnsi="仿宋_GB2312" w:eastAsia="仿宋_GB2312" w:cs="仿宋_GB2312"/>
          <w:color w:val="auto"/>
          <w:spacing w:val="8"/>
          <w:kern w:val="0"/>
          <w:sz w:val="32"/>
          <w:szCs w:val="32"/>
        </w:rPr>
        <w:t>内蒙古大青山自然保护区管理局呼和浩特分局古路板管理站现有管护人员127名。</w:t>
      </w:r>
    </w:p>
    <w:p>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672" w:firstLineChars="200"/>
        <w:jc w:val="both"/>
        <w:textAlignment w:val="auto"/>
        <w:rPr>
          <w:rFonts w:hint="eastAsia" w:ascii="仿宋_GB2312" w:hAnsi="仿宋_GB2312" w:eastAsia="仿宋_GB2312" w:cs="仿宋_GB2312"/>
          <w:b w:val="0"/>
          <w:bCs w:val="0"/>
          <w:color w:val="auto"/>
          <w:spacing w:val="8"/>
          <w:kern w:val="0"/>
          <w:sz w:val="32"/>
          <w:szCs w:val="32"/>
          <w:lang w:val="en-US" w:eastAsia="zh-CN" w:bidi="ar-SA"/>
        </w:rPr>
      </w:pPr>
      <w:bookmarkStart w:id="230" w:name="_Toc15759"/>
      <w:bookmarkStart w:id="231" w:name="_Toc14600"/>
      <w:bookmarkStart w:id="232" w:name="_Toc27947"/>
      <w:bookmarkStart w:id="233" w:name="_Toc6487"/>
      <w:bookmarkStart w:id="234" w:name="_Toc9532"/>
      <w:bookmarkStart w:id="235" w:name="_Toc2212"/>
      <w:r>
        <w:rPr>
          <w:rFonts w:hint="eastAsia" w:ascii="仿宋_GB2312" w:hAnsi="仿宋_GB2312" w:eastAsia="仿宋_GB2312" w:cs="仿宋_GB2312"/>
          <w:b w:val="0"/>
          <w:bCs w:val="0"/>
          <w:color w:val="auto"/>
          <w:spacing w:val="8"/>
          <w:kern w:val="0"/>
          <w:sz w:val="32"/>
          <w:szCs w:val="32"/>
          <w:lang w:val="en-US" w:eastAsia="zh-CN" w:bidi="ar-SA"/>
        </w:rPr>
        <w:t xml:space="preserve">负责人：闫建兵             </w:t>
      </w:r>
      <w:bookmarkEnd w:id="230"/>
      <w:bookmarkEnd w:id="231"/>
      <w:bookmarkEnd w:id="232"/>
      <w:bookmarkEnd w:id="233"/>
      <w:bookmarkEnd w:id="234"/>
      <w:bookmarkEnd w:id="235"/>
    </w:p>
    <w:p>
      <w:pPr>
        <w:keepNext w:val="0"/>
        <w:keepLines w:val="0"/>
        <w:pageBreakBefore w:val="0"/>
        <w:widowControl w:val="0"/>
        <w:kinsoku/>
        <w:wordWrap/>
        <w:overflowPunct/>
        <w:topLinePunct w:val="0"/>
        <w:autoSpaceDE/>
        <w:autoSpaceDN/>
        <w:bidi w:val="0"/>
        <w:snapToGrid/>
        <w:spacing w:line="360" w:lineRule="auto"/>
        <w:ind w:firstLine="675" w:firstLineChars="200"/>
        <w:jc w:val="both"/>
        <w:textAlignment w:val="auto"/>
        <w:outlineLvl w:val="9"/>
        <w:rPr>
          <w:rFonts w:hint="eastAsia" w:ascii="仿宋_GB2312" w:hAnsi="仿宋_GB2312" w:eastAsia="仿宋_GB2312" w:cs="仿宋_GB2312"/>
          <w:b/>
          <w:bCs/>
          <w:color w:val="auto"/>
          <w:spacing w:val="8"/>
          <w:kern w:val="0"/>
          <w:sz w:val="32"/>
          <w:szCs w:val="32"/>
        </w:rPr>
      </w:pPr>
      <w:r>
        <w:rPr>
          <w:rFonts w:hint="eastAsia" w:ascii="仿宋_GB2312" w:hAnsi="仿宋_GB2312" w:eastAsia="仿宋_GB2312" w:cs="仿宋_GB2312"/>
          <w:b/>
          <w:bCs/>
          <w:color w:val="auto"/>
          <w:spacing w:val="8"/>
          <w:kern w:val="0"/>
          <w:sz w:val="32"/>
          <w:szCs w:val="32"/>
          <w:lang w:val="en-US" w:eastAsia="zh-CN"/>
        </w:rPr>
        <w:t xml:space="preserve">4 </w:t>
      </w:r>
      <w:r>
        <w:rPr>
          <w:rFonts w:hint="eastAsia" w:ascii="仿宋_GB2312" w:hAnsi="仿宋_GB2312" w:eastAsia="仿宋_GB2312" w:cs="仿宋_GB2312"/>
          <w:b/>
          <w:bCs/>
          <w:color w:val="auto"/>
          <w:spacing w:val="8"/>
          <w:kern w:val="0"/>
          <w:sz w:val="32"/>
          <w:szCs w:val="32"/>
        </w:rPr>
        <w:t>森林消防队伍情况</w:t>
      </w:r>
    </w:p>
    <w:p>
      <w:pPr>
        <w:keepNext w:val="0"/>
        <w:keepLines w:val="0"/>
        <w:pageBreakBefore w:val="0"/>
        <w:widowControl w:val="0"/>
        <w:kinsoku/>
        <w:wordWrap/>
        <w:overflowPunct/>
        <w:topLinePunct w:val="0"/>
        <w:autoSpaceDE/>
        <w:autoSpaceDN/>
        <w:bidi w:val="0"/>
        <w:snapToGrid/>
        <w:spacing w:line="360" w:lineRule="auto"/>
        <w:ind w:firstLine="672" w:firstLineChars="200"/>
        <w:jc w:val="both"/>
        <w:textAlignment w:val="auto"/>
        <w:outlineLvl w:val="9"/>
        <w:rPr>
          <w:rFonts w:hint="eastAsia" w:ascii="仿宋_GB2312" w:hAnsi="仿宋_GB2312" w:eastAsia="仿宋_GB2312" w:cs="仿宋_GB2312"/>
          <w:color w:val="auto"/>
          <w:spacing w:val="8"/>
          <w:kern w:val="0"/>
          <w:sz w:val="32"/>
          <w:szCs w:val="32"/>
        </w:rPr>
      </w:pPr>
      <w:r>
        <w:rPr>
          <w:rFonts w:hint="eastAsia" w:ascii="仿宋_GB2312" w:hAnsi="仿宋_GB2312" w:eastAsia="仿宋_GB2312" w:cs="仿宋_GB2312"/>
          <w:color w:val="auto"/>
          <w:spacing w:val="8"/>
          <w:kern w:val="0"/>
          <w:sz w:val="32"/>
          <w:szCs w:val="32"/>
        </w:rPr>
        <w:t>在重要防火期和防火节点，内蒙古森林消防总队呼和浩 特市特勤大队将派驻专业队伍开展靠前驻防。</w:t>
      </w:r>
    </w:p>
    <w:p>
      <w:pPr>
        <w:keepNext w:val="0"/>
        <w:keepLines w:val="0"/>
        <w:pageBreakBefore w:val="0"/>
        <w:widowControl w:val="0"/>
        <w:kinsoku/>
        <w:wordWrap/>
        <w:overflowPunct/>
        <w:topLinePunct w:val="0"/>
        <w:autoSpaceDE/>
        <w:autoSpaceDN/>
        <w:bidi w:val="0"/>
        <w:adjustRightInd/>
        <w:snapToGrid/>
        <w:spacing w:after="313" w:afterLines="100" w:line="360" w:lineRule="auto"/>
        <w:jc w:val="both"/>
        <w:textAlignment w:val="auto"/>
        <w:outlineLvl w:val="1"/>
        <w:rPr>
          <w:rFonts w:hint="eastAsia" w:ascii="仿宋_GB2312" w:hAnsi="仿宋_GB2312" w:eastAsia="仿宋_GB2312" w:cs="仿宋_GB2312"/>
          <w:color w:val="auto"/>
          <w:spacing w:val="8"/>
          <w:kern w:val="0"/>
          <w:sz w:val="32"/>
          <w:szCs w:val="32"/>
          <w:lang w:val="en-US" w:eastAsia="zh-CN"/>
        </w:rPr>
      </w:pPr>
      <w:r>
        <w:rPr>
          <w:rFonts w:hint="eastAsia" w:ascii="仿宋_GB2312" w:hAnsi="仿宋_GB2312" w:eastAsia="仿宋_GB2312" w:cs="仿宋_GB2312"/>
          <w:color w:val="auto"/>
          <w:spacing w:val="8"/>
          <w:kern w:val="0"/>
          <w:sz w:val="32"/>
          <w:szCs w:val="32"/>
        </w:rPr>
        <w:t xml:space="preserve">负责人：倪晨  </w:t>
      </w:r>
      <w:r>
        <w:rPr>
          <w:rFonts w:hint="eastAsia" w:ascii="仿宋_GB2312" w:hAnsi="仿宋_GB2312" w:eastAsia="仿宋_GB2312" w:cs="仿宋_GB2312"/>
          <w:color w:val="auto"/>
          <w:spacing w:val="8"/>
          <w:kern w:val="0"/>
          <w:sz w:val="32"/>
          <w:szCs w:val="32"/>
          <w:lang w:val="en-US" w:eastAsia="zh-CN"/>
        </w:rPr>
        <w:t xml:space="preserve">         </w:t>
      </w:r>
      <w:bookmarkStart w:id="236" w:name="_Toc22973"/>
    </w:p>
    <w:p>
      <w:pPr>
        <w:keepNext w:val="0"/>
        <w:keepLines w:val="0"/>
        <w:pageBreakBefore w:val="0"/>
        <w:widowControl w:val="0"/>
        <w:kinsoku/>
        <w:wordWrap/>
        <w:overflowPunct/>
        <w:topLinePunct w:val="0"/>
        <w:autoSpaceDE/>
        <w:autoSpaceDN/>
        <w:bidi w:val="0"/>
        <w:adjustRightInd/>
        <w:snapToGrid/>
        <w:spacing w:after="313" w:afterLines="100" w:line="360" w:lineRule="auto"/>
        <w:jc w:val="both"/>
        <w:textAlignment w:val="auto"/>
        <w:outlineLvl w:val="1"/>
        <w:rPr>
          <w:rFonts w:hint="eastAsia" w:ascii="黑体" w:eastAsia="黑体"/>
          <w:bCs/>
          <w:color w:val="auto"/>
          <w:kern w:val="44"/>
          <w:sz w:val="32"/>
          <w:szCs w:val="44"/>
          <w:lang w:val="en-US" w:eastAsia="zh-CN"/>
        </w:rPr>
      </w:pPr>
      <w:r>
        <w:rPr>
          <w:rFonts w:hint="eastAsia" w:ascii="黑体" w:eastAsia="黑体"/>
          <w:bCs/>
          <w:color w:val="auto"/>
          <w:kern w:val="44"/>
          <w:sz w:val="32"/>
          <w:szCs w:val="44"/>
          <w:lang w:val="en-US" w:eastAsia="zh-CN"/>
        </w:rPr>
        <w:t>附件6 新城区森林草原防扑火队伍应急装备清单</w:t>
      </w:r>
      <w:bookmarkEnd w:id="236"/>
    </w:p>
    <w:p>
      <w:pPr>
        <w:bidi w:val="0"/>
        <w:jc w:val="center"/>
        <w:rPr>
          <w:rFonts w:hint="eastAsia" w:ascii="黑体" w:hAnsi="黑体" w:eastAsia="黑体" w:cs="黑体"/>
          <w:color w:val="auto"/>
          <w:sz w:val="32"/>
          <w:szCs w:val="32"/>
        </w:rPr>
      </w:pPr>
      <w:r>
        <w:rPr>
          <w:rFonts w:hint="eastAsia" w:ascii="黑体" w:hAnsi="黑体" w:eastAsia="黑体" w:cs="黑体"/>
          <w:color w:val="auto"/>
          <w:sz w:val="32"/>
          <w:szCs w:val="32"/>
        </w:rPr>
        <w:t>新城区应急指挥中心车辆清单</w:t>
      </w:r>
    </w:p>
    <w:p>
      <w:pPr>
        <w:spacing w:line="67" w:lineRule="exact"/>
        <w:rPr>
          <w:color w:val="auto"/>
        </w:rPr>
      </w:pPr>
    </w:p>
    <w:tbl>
      <w:tblPr>
        <w:tblStyle w:val="25"/>
        <w:tblW w:w="83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2982"/>
        <w:gridCol w:w="809"/>
        <w:gridCol w:w="918"/>
        <w:gridCol w:w="28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780" w:type="dxa"/>
            <w:vAlign w:val="top"/>
          </w:tcPr>
          <w:p>
            <w:pPr>
              <w:spacing w:before="252" w:line="229" w:lineRule="auto"/>
              <w:ind w:left="193"/>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pacing w:val="6"/>
                <w:sz w:val="24"/>
                <w:szCs w:val="24"/>
              </w:rPr>
              <w:t>序</w:t>
            </w:r>
            <w:r>
              <w:rPr>
                <w:rFonts w:hint="eastAsia" w:ascii="仿宋_GB2312" w:hAnsi="仿宋_GB2312" w:eastAsia="仿宋_GB2312" w:cs="仿宋_GB2312"/>
                <w:b/>
                <w:bCs/>
                <w:color w:val="auto"/>
                <w:spacing w:val="5"/>
                <w:sz w:val="24"/>
                <w:szCs w:val="24"/>
              </w:rPr>
              <w:t>号</w:t>
            </w:r>
          </w:p>
        </w:tc>
        <w:tc>
          <w:tcPr>
            <w:tcW w:w="2982" w:type="dxa"/>
            <w:vAlign w:val="top"/>
          </w:tcPr>
          <w:p>
            <w:pPr>
              <w:spacing w:before="253" w:line="227" w:lineRule="auto"/>
              <w:ind w:left="88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pacing w:val="7"/>
                <w:sz w:val="24"/>
                <w:szCs w:val="24"/>
              </w:rPr>
              <w:t>车辆名称</w:t>
            </w:r>
          </w:p>
        </w:tc>
        <w:tc>
          <w:tcPr>
            <w:tcW w:w="809" w:type="dxa"/>
            <w:vAlign w:val="top"/>
          </w:tcPr>
          <w:p>
            <w:pPr>
              <w:spacing w:before="253" w:line="227" w:lineRule="auto"/>
              <w:ind w:left="186"/>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pacing w:val="4"/>
                <w:sz w:val="24"/>
                <w:szCs w:val="24"/>
              </w:rPr>
              <w:t>数量</w:t>
            </w:r>
          </w:p>
        </w:tc>
        <w:tc>
          <w:tcPr>
            <w:tcW w:w="918" w:type="dxa"/>
            <w:vAlign w:val="top"/>
          </w:tcPr>
          <w:p>
            <w:pPr>
              <w:spacing w:before="252" w:line="228" w:lineRule="auto"/>
              <w:ind w:left="194"/>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pacing w:val="4"/>
                <w:sz w:val="24"/>
                <w:szCs w:val="24"/>
              </w:rPr>
              <w:t>单位</w:t>
            </w:r>
          </w:p>
        </w:tc>
        <w:tc>
          <w:tcPr>
            <w:tcW w:w="2853" w:type="dxa"/>
            <w:vAlign w:val="top"/>
          </w:tcPr>
          <w:p>
            <w:pPr>
              <w:spacing w:before="252" w:line="229" w:lineRule="auto"/>
              <w:ind w:left="1314"/>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pacing w:val="4"/>
                <w:sz w:val="24"/>
                <w:szCs w:val="24"/>
              </w:rPr>
              <w:t>备</w:t>
            </w:r>
            <w:r>
              <w:rPr>
                <w:rFonts w:hint="eastAsia" w:ascii="仿宋_GB2312" w:hAnsi="仿宋_GB2312" w:eastAsia="仿宋_GB2312" w:cs="仿宋_GB2312"/>
                <w:b/>
                <w:bCs/>
                <w:color w:val="auto"/>
                <w:spacing w:val="3"/>
                <w:sz w:val="24"/>
                <w:szCs w:val="24"/>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780" w:type="dxa"/>
            <w:vAlign w:val="top"/>
          </w:tcPr>
          <w:p>
            <w:pPr>
              <w:spacing w:before="288" w:line="192" w:lineRule="auto"/>
              <w:ind w:left="39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2982" w:type="dxa"/>
            <w:vAlign w:val="top"/>
          </w:tcPr>
          <w:p>
            <w:pPr>
              <w:spacing w:before="250" w:line="227" w:lineRule="auto"/>
              <w:ind w:left="131"/>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依维柯运兵车(20</w:t>
            </w:r>
            <w:r>
              <w:rPr>
                <w:rFonts w:hint="eastAsia" w:ascii="仿宋_GB2312" w:hAnsi="仿宋_GB2312" w:eastAsia="仿宋_GB2312" w:cs="仿宋_GB2312"/>
                <w:color w:val="auto"/>
                <w:spacing w:val="1"/>
                <w:sz w:val="24"/>
                <w:szCs w:val="24"/>
              </w:rPr>
              <w:t>座</w:t>
            </w:r>
            <w:r>
              <w:rPr>
                <w:rFonts w:hint="eastAsia" w:ascii="仿宋_GB2312" w:hAnsi="仿宋_GB2312" w:eastAsia="仿宋_GB2312" w:cs="仿宋_GB2312"/>
                <w:color w:val="auto"/>
                <w:sz w:val="24"/>
                <w:szCs w:val="24"/>
              </w:rPr>
              <w:t>)</w:t>
            </w:r>
          </w:p>
        </w:tc>
        <w:tc>
          <w:tcPr>
            <w:tcW w:w="809" w:type="dxa"/>
            <w:vAlign w:val="top"/>
          </w:tcPr>
          <w:p>
            <w:pPr>
              <w:spacing w:before="288" w:line="192" w:lineRule="auto"/>
              <w:ind w:left="38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18" w:type="dxa"/>
            <w:vAlign w:val="top"/>
          </w:tcPr>
          <w:p>
            <w:pPr>
              <w:spacing w:before="250" w:line="230" w:lineRule="auto"/>
              <w:ind w:left="331"/>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台</w:t>
            </w:r>
          </w:p>
        </w:tc>
        <w:tc>
          <w:tcPr>
            <w:tcW w:w="2853" w:type="dxa"/>
            <w:vAlign w:val="top"/>
          </w:tcPr>
          <w:p>
            <w:pPr>
              <w:spacing w:before="250" w:line="228" w:lineRule="auto"/>
              <w:ind w:left="991"/>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自</w:t>
            </w:r>
            <w:r>
              <w:rPr>
                <w:rFonts w:hint="eastAsia" w:ascii="仿宋_GB2312" w:hAnsi="仿宋_GB2312" w:eastAsia="仿宋_GB2312" w:cs="仿宋_GB2312"/>
                <w:color w:val="auto"/>
                <w:sz w:val="24"/>
                <w:szCs w:val="24"/>
              </w:rPr>
              <w:t>治区匹配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780" w:type="dxa"/>
            <w:vAlign w:val="top"/>
          </w:tcPr>
          <w:p>
            <w:pPr>
              <w:spacing w:before="287" w:line="192" w:lineRule="auto"/>
              <w:ind w:left="377"/>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2982" w:type="dxa"/>
            <w:vAlign w:val="top"/>
          </w:tcPr>
          <w:p>
            <w:pPr>
              <w:spacing w:before="250" w:line="227" w:lineRule="auto"/>
              <w:ind w:left="317"/>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勇士</w:t>
            </w:r>
            <w:r>
              <w:rPr>
                <w:rFonts w:hint="eastAsia" w:ascii="仿宋_GB2312" w:hAnsi="仿宋_GB2312" w:eastAsia="仿宋_GB2312" w:cs="仿宋_GB2312"/>
                <w:color w:val="auto"/>
                <w:sz w:val="24"/>
                <w:szCs w:val="24"/>
              </w:rPr>
              <w:t>运兵车(8座)</w:t>
            </w:r>
          </w:p>
        </w:tc>
        <w:tc>
          <w:tcPr>
            <w:tcW w:w="809" w:type="dxa"/>
            <w:vAlign w:val="top"/>
          </w:tcPr>
          <w:p>
            <w:pPr>
              <w:spacing w:before="287" w:line="192" w:lineRule="auto"/>
              <w:ind w:left="367"/>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18" w:type="dxa"/>
            <w:vAlign w:val="top"/>
          </w:tcPr>
          <w:p>
            <w:pPr>
              <w:spacing w:before="249" w:line="230" w:lineRule="auto"/>
              <w:ind w:left="331"/>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台</w:t>
            </w:r>
          </w:p>
        </w:tc>
        <w:tc>
          <w:tcPr>
            <w:tcW w:w="2853" w:type="dxa"/>
            <w:vAlign w:val="top"/>
          </w:tcPr>
          <w:p>
            <w:pPr>
              <w:spacing w:before="250" w:line="228" w:lineRule="auto"/>
              <w:ind w:left="391"/>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6"/>
                <w:sz w:val="24"/>
                <w:szCs w:val="24"/>
              </w:rPr>
              <w:t>自</w:t>
            </w:r>
            <w:r>
              <w:rPr>
                <w:rFonts w:hint="eastAsia" w:ascii="仿宋_GB2312" w:hAnsi="仿宋_GB2312" w:eastAsia="仿宋_GB2312" w:cs="仿宋_GB2312"/>
                <w:color w:val="auto"/>
                <w:spacing w:val="5"/>
                <w:sz w:val="24"/>
                <w:szCs w:val="24"/>
              </w:rPr>
              <w:t>治区、市防汛办匹配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780" w:type="dxa"/>
            <w:vAlign w:val="top"/>
          </w:tcPr>
          <w:p>
            <w:pPr>
              <w:spacing w:before="288" w:line="190" w:lineRule="auto"/>
              <w:ind w:left="37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2982" w:type="dxa"/>
            <w:vAlign w:val="top"/>
          </w:tcPr>
          <w:p>
            <w:pPr>
              <w:spacing w:before="250" w:line="228" w:lineRule="auto"/>
              <w:ind w:left="64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上汽大通皮卡</w:t>
            </w:r>
          </w:p>
        </w:tc>
        <w:tc>
          <w:tcPr>
            <w:tcW w:w="809" w:type="dxa"/>
            <w:vAlign w:val="top"/>
          </w:tcPr>
          <w:p>
            <w:pPr>
              <w:spacing w:before="287" w:line="192" w:lineRule="auto"/>
              <w:ind w:left="38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18" w:type="dxa"/>
            <w:vAlign w:val="top"/>
          </w:tcPr>
          <w:p>
            <w:pPr>
              <w:spacing w:before="249" w:line="230" w:lineRule="auto"/>
              <w:ind w:left="331"/>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台</w:t>
            </w:r>
          </w:p>
        </w:tc>
        <w:tc>
          <w:tcPr>
            <w:tcW w:w="2853" w:type="dxa"/>
            <w:vAlign w:val="top"/>
          </w:tcPr>
          <w:p>
            <w:pPr>
              <w:spacing w:before="250" w:line="228" w:lineRule="auto"/>
              <w:ind w:left="991"/>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自</w:t>
            </w:r>
            <w:r>
              <w:rPr>
                <w:rFonts w:hint="eastAsia" w:ascii="仿宋_GB2312" w:hAnsi="仿宋_GB2312" w:eastAsia="仿宋_GB2312" w:cs="仿宋_GB2312"/>
                <w:color w:val="auto"/>
                <w:sz w:val="24"/>
                <w:szCs w:val="24"/>
              </w:rPr>
              <w:t>治区匹配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780" w:type="dxa"/>
            <w:vAlign w:val="top"/>
          </w:tcPr>
          <w:p>
            <w:pPr>
              <w:spacing w:before="288" w:line="192" w:lineRule="auto"/>
              <w:ind w:left="37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2982" w:type="dxa"/>
            <w:vAlign w:val="top"/>
          </w:tcPr>
          <w:p>
            <w:pPr>
              <w:spacing w:before="251" w:line="227" w:lineRule="auto"/>
              <w:ind w:left="55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水罐车</w:t>
            </w:r>
            <w:r>
              <w:rPr>
                <w:rFonts w:hint="eastAsia" w:ascii="仿宋_GB2312" w:hAnsi="仿宋_GB2312" w:eastAsia="仿宋_GB2312" w:cs="仿宋_GB2312"/>
                <w:color w:val="auto"/>
                <w:spacing w:val="-1"/>
                <w:sz w:val="24"/>
                <w:szCs w:val="24"/>
              </w:rPr>
              <w:t>(5吨)</w:t>
            </w:r>
          </w:p>
        </w:tc>
        <w:tc>
          <w:tcPr>
            <w:tcW w:w="809" w:type="dxa"/>
            <w:vAlign w:val="top"/>
          </w:tcPr>
          <w:p>
            <w:pPr>
              <w:spacing w:before="288" w:line="192" w:lineRule="auto"/>
              <w:ind w:left="367"/>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18" w:type="dxa"/>
            <w:vAlign w:val="top"/>
          </w:tcPr>
          <w:p>
            <w:pPr>
              <w:spacing w:before="250" w:line="230" w:lineRule="auto"/>
              <w:ind w:left="331"/>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台</w:t>
            </w:r>
          </w:p>
        </w:tc>
        <w:tc>
          <w:tcPr>
            <w:tcW w:w="2853" w:type="dxa"/>
            <w:vAlign w:val="top"/>
          </w:tcPr>
          <w:p>
            <w:pPr>
              <w:rPr>
                <w:rFonts w:hint="eastAsia"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780" w:type="dxa"/>
            <w:vAlign w:val="top"/>
          </w:tcPr>
          <w:p>
            <w:pPr>
              <w:spacing w:before="292" w:line="189" w:lineRule="auto"/>
              <w:ind w:left="37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2982" w:type="dxa"/>
            <w:vAlign w:val="top"/>
          </w:tcPr>
          <w:p>
            <w:pPr>
              <w:spacing w:before="254" w:line="227" w:lineRule="auto"/>
              <w:ind w:left="55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水罐车</w:t>
            </w:r>
            <w:r>
              <w:rPr>
                <w:rFonts w:hint="eastAsia" w:ascii="仿宋_GB2312" w:hAnsi="仿宋_GB2312" w:eastAsia="仿宋_GB2312" w:cs="仿宋_GB2312"/>
                <w:color w:val="auto"/>
                <w:spacing w:val="-1"/>
                <w:sz w:val="24"/>
                <w:szCs w:val="24"/>
              </w:rPr>
              <w:t>(1吨)</w:t>
            </w:r>
          </w:p>
        </w:tc>
        <w:tc>
          <w:tcPr>
            <w:tcW w:w="809" w:type="dxa"/>
            <w:vAlign w:val="top"/>
          </w:tcPr>
          <w:p>
            <w:pPr>
              <w:spacing w:before="291" w:line="192" w:lineRule="auto"/>
              <w:ind w:left="38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18" w:type="dxa"/>
            <w:vAlign w:val="top"/>
          </w:tcPr>
          <w:p>
            <w:pPr>
              <w:spacing w:before="253" w:line="230" w:lineRule="auto"/>
              <w:ind w:left="331"/>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台</w:t>
            </w:r>
          </w:p>
        </w:tc>
        <w:tc>
          <w:tcPr>
            <w:tcW w:w="2853" w:type="dxa"/>
            <w:vAlign w:val="top"/>
          </w:tcPr>
          <w:p>
            <w:pPr>
              <w:rPr>
                <w:rFonts w:hint="eastAsia"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780" w:type="dxa"/>
            <w:vAlign w:val="top"/>
          </w:tcPr>
          <w:p>
            <w:pPr>
              <w:spacing w:before="292" w:line="190" w:lineRule="auto"/>
              <w:ind w:left="37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2982" w:type="dxa"/>
            <w:vAlign w:val="top"/>
          </w:tcPr>
          <w:p>
            <w:pPr>
              <w:spacing w:before="254" w:line="227" w:lineRule="auto"/>
              <w:ind w:left="75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风骏皮卡</w:t>
            </w:r>
            <w:r>
              <w:rPr>
                <w:rFonts w:hint="eastAsia" w:ascii="仿宋_GB2312" w:hAnsi="仿宋_GB2312" w:eastAsia="仿宋_GB2312" w:cs="仿宋_GB2312"/>
                <w:color w:val="auto"/>
                <w:spacing w:val="7"/>
                <w:sz w:val="24"/>
                <w:szCs w:val="24"/>
              </w:rPr>
              <w:t>车</w:t>
            </w:r>
          </w:p>
        </w:tc>
        <w:tc>
          <w:tcPr>
            <w:tcW w:w="809" w:type="dxa"/>
            <w:vAlign w:val="top"/>
          </w:tcPr>
          <w:p>
            <w:pPr>
              <w:spacing w:before="292" w:line="190" w:lineRule="auto"/>
              <w:ind w:left="365"/>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918" w:type="dxa"/>
            <w:vAlign w:val="top"/>
          </w:tcPr>
          <w:p>
            <w:pPr>
              <w:spacing w:before="253" w:line="230" w:lineRule="auto"/>
              <w:ind w:left="331"/>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台</w:t>
            </w:r>
          </w:p>
        </w:tc>
        <w:tc>
          <w:tcPr>
            <w:tcW w:w="2853" w:type="dxa"/>
            <w:vAlign w:val="top"/>
          </w:tcPr>
          <w:p>
            <w:pPr>
              <w:spacing w:before="254" w:line="227" w:lineRule="auto"/>
              <w:ind w:left="87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日常巡</w:t>
            </w:r>
            <w:r>
              <w:rPr>
                <w:rFonts w:hint="eastAsia" w:ascii="仿宋_GB2312" w:hAnsi="仿宋_GB2312" w:eastAsia="仿宋_GB2312" w:cs="仿宋_GB2312"/>
                <w:color w:val="auto"/>
                <w:spacing w:val="1"/>
                <w:sz w:val="24"/>
                <w:szCs w:val="24"/>
              </w:rPr>
              <w:t>查用车</w:t>
            </w:r>
          </w:p>
        </w:tc>
      </w:tr>
    </w:tbl>
    <w:p>
      <w:pPr>
        <w:spacing w:line="315" w:lineRule="auto"/>
        <w:rPr>
          <w:rFonts w:ascii="Arial"/>
          <w:color w:val="auto"/>
          <w:sz w:val="21"/>
        </w:rPr>
      </w:pPr>
    </w:p>
    <w:p>
      <w:pPr>
        <w:pStyle w:val="2"/>
        <w:rPr>
          <w:color w:val="auto"/>
        </w:rPr>
      </w:pPr>
    </w:p>
    <w:p>
      <w:pPr>
        <w:bidi w:val="0"/>
        <w:jc w:val="center"/>
        <w:rPr>
          <w:rFonts w:hint="eastAsia" w:ascii="黑体" w:hAnsi="黑体" w:eastAsia="黑体" w:cs="黑体"/>
          <w:color w:val="auto"/>
          <w:sz w:val="32"/>
          <w:szCs w:val="32"/>
        </w:rPr>
      </w:pPr>
      <w:r>
        <w:rPr>
          <w:rFonts w:hint="eastAsia" w:ascii="黑体" w:hAnsi="黑体" w:eastAsia="黑体" w:cs="黑体"/>
          <w:color w:val="auto"/>
          <w:sz w:val="32"/>
          <w:szCs w:val="32"/>
        </w:rPr>
        <w:t>新城区应急指挥中心灭火物资清单</w:t>
      </w:r>
    </w:p>
    <w:p>
      <w:pPr>
        <w:spacing w:line="67" w:lineRule="exact"/>
        <w:rPr>
          <w:color w:val="auto"/>
        </w:rPr>
      </w:pPr>
    </w:p>
    <w:tbl>
      <w:tblPr>
        <w:tblStyle w:val="25"/>
        <w:tblW w:w="83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1"/>
        <w:gridCol w:w="2982"/>
        <w:gridCol w:w="836"/>
        <w:gridCol w:w="927"/>
        <w:gridCol w:w="28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771" w:type="dxa"/>
            <w:vAlign w:val="top"/>
          </w:tcPr>
          <w:p>
            <w:pPr>
              <w:spacing w:before="252" w:line="229" w:lineRule="auto"/>
              <w:ind w:left="186"/>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pacing w:val="6"/>
                <w:sz w:val="24"/>
                <w:szCs w:val="24"/>
              </w:rPr>
              <w:t>序</w:t>
            </w:r>
            <w:r>
              <w:rPr>
                <w:rFonts w:hint="eastAsia" w:ascii="仿宋_GB2312" w:hAnsi="仿宋_GB2312" w:eastAsia="仿宋_GB2312" w:cs="仿宋_GB2312"/>
                <w:b/>
                <w:bCs/>
                <w:color w:val="auto"/>
                <w:spacing w:val="5"/>
                <w:sz w:val="24"/>
                <w:szCs w:val="24"/>
              </w:rPr>
              <w:t>号</w:t>
            </w:r>
          </w:p>
        </w:tc>
        <w:tc>
          <w:tcPr>
            <w:tcW w:w="2982" w:type="dxa"/>
            <w:vAlign w:val="top"/>
          </w:tcPr>
          <w:p>
            <w:pPr>
              <w:spacing w:before="253" w:line="227" w:lineRule="auto"/>
              <w:ind w:left="1101"/>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pacing w:val="9"/>
                <w:sz w:val="24"/>
                <w:szCs w:val="24"/>
              </w:rPr>
              <w:t>装</w:t>
            </w:r>
            <w:r>
              <w:rPr>
                <w:rFonts w:hint="eastAsia" w:ascii="仿宋_GB2312" w:hAnsi="仿宋_GB2312" w:eastAsia="仿宋_GB2312" w:cs="仿宋_GB2312"/>
                <w:b/>
                <w:bCs/>
                <w:color w:val="auto"/>
                <w:spacing w:val="7"/>
                <w:sz w:val="24"/>
                <w:szCs w:val="24"/>
              </w:rPr>
              <w:t>备种类</w:t>
            </w:r>
          </w:p>
        </w:tc>
        <w:tc>
          <w:tcPr>
            <w:tcW w:w="836" w:type="dxa"/>
            <w:vAlign w:val="top"/>
          </w:tcPr>
          <w:p>
            <w:pPr>
              <w:spacing w:before="253" w:line="227" w:lineRule="auto"/>
              <w:ind w:left="188"/>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pacing w:val="4"/>
                <w:sz w:val="24"/>
                <w:szCs w:val="24"/>
              </w:rPr>
              <w:t>数量</w:t>
            </w:r>
          </w:p>
        </w:tc>
        <w:tc>
          <w:tcPr>
            <w:tcW w:w="927" w:type="dxa"/>
            <w:vAlign w:val="top"/>
          </w:tcPr>
          <w:p>
            <w:pPr>
              <w:spacing w:before="252" w:line="228" w:lineRule="auto"/>
              <w:ind w:left="188"/>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pacing w:val="4"/>
                <w:sz w:val="24"/>
                <w:szCs w:val="24"/>
              </w:rPr>
              <w:t>单位</w:t>
            </w:r>
          </w:p>
        </w:tc>
        <w:tc>
          <w:tcPr>
            <w:tcW w:w="2825" w:type="dxa"/>
            <w:vAlign w:val="top"/>
          </w:tcPr>
          <w:p>
            <w:pPr>
              <w:spacing w:before="252" w:line="229" w:lineRule="auto"/>
              <w:ind w:left="1104"/>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pacing w:val="4"/>
                <w:sz w:val="24"/>
                <w:szCs w:val="24"/>
              </w:rPr>
              <w:t>备</w:t>
            </w:r>
            <w:r>
              <w:rPr>
                <w:rFonts w:hint="eastAsia" w:ascii="仿宋_GB2312" w:hAnsi="仿宋_GB2312" w:eastAsia="仿宋_GB2312" w:cs="仿宋_GB2312"/>
                <w:b/>
                <w:bCs/>
                <w:color w:val="auto"/>
                <w:spacing w:val="3"/>
                <w:sz w:val="24"/>
                <w:szCs w:val="24"/>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771" w:type="dxa"/>
            <w:vAlign w:val="top"/>
          </w:tcPr>
          <w:p>
            <w:pPr>
              <w:spacing w:before="288" w:line="192" w:lineRule="auto"/>
              <w:ind w:left="385"/>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2982" w:type="dxa"/>
            <w:vAlign w:val="top"/>
          </w:tcPr>
          <w:p>
            <w:pPr>
              <w:spacing w:before="250" w:line="227" w:lineRule="auto"/>
              <w:ind w:left="38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2"/>
                <w:sz w:val="24"/>
                <w:szCs w:val="24"/>
              </w:rPr>
              <w:t>斯</w:t>
            </w:r>
            <w:r>
              <w:rPr>
                <w:rFonts w:hint="eastAsia" w:ascii="仿宋_GB2312" w:hAnsi="仿宋_GB2312" w:eastAsia="仿宋_GB2312" w:cs="仿宋_GB2312"/>
                <w:color w:val="auto"/>
                <w:spacing w:val="7"/>
                <w:sz w:val="24"/>
                <w:szCs w:val="24"/>
              </w:rPr>
              <w:t>蒂尔600 风力灭火机</w:t>
            </w:r>
          </w:p>
        </w:tc>
        <w:tc>
          <w:tcPr>
            <w:tcW w:w="836" w:type="dxa"/>
            <w:vAlign w:val="top"/>
          </w:tcPr>
          <w:p>
            <w:pPr>
              <w:spacing w:before="288" w:line="190" w:lineRule="auto"/>
              <w:ind w:left="31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4"/>
                <w:sz w:val="24"/>
                <w:szCs w:val="24"/>
              </w:rPr>
              <w:t>7</w:t>
            </w:r>
            <w:r>
              <w:rPr>
                <w:rFonts w:hint="eastAsia" w:ascii="仿宋_GB2312" w:hAnsi="仿宋_GB2312" w:eastAsia="仿宋_GB2312" w:cs="仿宋_GB2312"/>
                <w:color w:val="auto"/>
                <w:spacing w:val="-2"/>
                <w:sz w:val="24"/>
                <w:szCs w:val="24"/>
              </w:rPr>
              <w:t>8</w:t>
            </w:r>
          </w:p>
        </w:tc>
        <w:tc>
          <w:tcPr>
            <w:tcW w:w="927" w:type="dxa"/>
            <w:vAlign w:val="top"/>
          </w:tcPr>
          <w:p>
            <w:pPr>
              <w:spacing w:before="250" w:line="230" w:lineRule="auto"/>
              <w:ind w:left="325"/>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台</w:t>
            </w:r>
          </w:p>
        </w:tc>
        <w:tc>
          <w:tcPr>
            <w:tcW w:w="2825" w:type="dxa"/>
            <w:vAlign w:val="top"/>
          </w:tcPr>
          <w:p>
            <w:pPr>
              <w:rPr>
                <w:rFonts w:hint="eastAsia"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771" w:type="dxa"/>
            <w:vAlign w:val="top"/>
          </w:tcPr>
          <w:p>
            <w:pPr>
              <w:spacing w:before="288" w:line="192" w:lineRule="auto"/>
              <w:ind w:left="37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2982" w:type="dxa"/>
            <w:vAlign w:val="top"/>
          </w:tcPr>
          <w:p>
            <w:pPr>
              <w:spacing w:before="250" w:line="229" w:lineRule="auto"/>
              <w:ind w:left="1105"/>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二</w:t>
            </w:r>
            <w:r>
              <w:rPr>
                <w:rFonts w:hint="eastAsia" w:ascii="仿宋_GB2312" w:hAnsi="仿宋_GB2312" w:eastAsia="仿宋_GB2312" w:cs="仿宋_GB2312"/>
                <w:color w:val="auto"/>
                <w:spacing w:val="6"/>
                <w:sz w:val="24"/>
                <w:szCs w:val="24"/>
              </w:rPr>
              <w:t>号工具</w:t>
            </w:r>
          </w:p>
        </w:tc>
        <w:tc>
          <w:tcPr>
            <w:tcW w:w="836" w:type="dxa"/>
            <w:vAlign w:val="top"/>
          </w:tcPr>
          <w:p>
            <w:pPr>
              <w:spacing w:before="287" w:line="191" w:lineRule="auto"/>
              <w:ind w:left="26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5"/>
                <w:sz w:val="24"/>
                <w:szCs w:val="24"/>
              </w:rPr>
              <w:t>1</w:t>
            </w:r>
            <w:r>
              <w:rPr>
                <w:rFonts w:hint="eastAsia" w:ascii="仿宋_GB2312" w:hAnsi="仿宋_GB2312" w:eastAsia="仿宋_GB2312" w:cs="仿宋_GB2312"/>
                <w:color w:val="auto"/>
                <w:spacing w:val="-4"/>
                <w:sz w:val="24"/>
                <w:szCs w:val="24"/>
              </w:rPr>
              <w:t>30</w:t>
            </w:r>
          </w:p>
        </w:tc>
        <w:tc>
          <w:tcPr>
            <w:tcW w:w="927" w:type="dxa"/>
            <w:vAlign w:val="top"/>
          </w:tcPr>
          <w:p>
            <w:pPr>
              <w:spacing w:before="250" w:line="230" w:lineRule="auto"/>
              <w:ind w:left="30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把</w:t>
            </w:r>
          </w:p>
        </w:tc>
        <w:tc>
          <w:tcPr>
            <w:tcW w:w="2825" w:type="dxa"/>
            <w:vAlign w:val="top"/>
          </w:tcPr>
          <w:p>
            <w:pPr>
              <w:rPr>
                <w:rFonts w:hint="eastAsia"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771" w:type="dxa"/>
            <w:vAlign w:val="top"/>
          </w:tcPr>
          <w:p>
            <w:pPr>
              <w:spacing w:before="289" w:line="190" w:lineRule="auto"/>
              <w:ind w:left="37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2982" w:type="dxa"/>
            <w:vAlign w:val="top"/>
          </w:tcPr>
          <w:p>
            <w:pPr>
              <w:spacing w:before="250" w:line="227" w:lineRule="auto"/>
              <w:ind w:left="1225"/>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6"/>
                <w:sz w:val="24"/>
                <w:szCs w:val="24"/>
              </w:rPr>
              <w:t>灭</w:t>
            </w:r>
            <w:r>
              <w:rPr>
                <w:rFonts w:hint="eastAsia" w:ascii="仿宋_GB2312" w:hAnsi="仿宋_GB2312" w:eastAsia="仿宋_GB2312" w:cs="仿宋_GB2312"/>
                <w:color w:val="auto"/>
                <w:spacing w:val="5"/>
                <w:sz w:val="24"/>
                <w:szCs w:val="24"/>
              </w:rPr>
              <w:t>火弹</w:t>
            </w:r>
          </w:p>
        </w:tc>
        <w:tc>
          <w:tcPr>
            <w:tcW w:w="836" w:type="dxa"/>
            <w:vAlign w:val="top"/>
          </w:tcPr>
          <w:p>
            <w:pPr>
              <w:spacing w:before="289" w:line="190" w:lineRule="auto"/>
              <w:ind w:left="305"/>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4</w:t>
            </w:r>
            <w:r>
              <w:rPr>
                <w:rFonts w:hint="eastAsia" w:ascii="仿宋_GB2312" w:hAnsi="仿宋_GB2312" w:eastAsia="仿宋_GB2312" w:cs="仿宋_GB2312"/>
                <w:color w:val="auto"/>
                <w:sz w:val="24"/>
                <w:szCs w:val="24"/>
              </w:rPr>
              <w:t>0</w:t>
            </w:r>
          </w:p>
        </w:tc>
        <w:tc>
          <w:tcPr>
            <w:tcW w:w="927" w:type="dxa"/>
            <w:vAlign w:val="top"/>
          </w:tcPr>
          <w:p>
            <w:pPr>
              <w:spacing w:before="251" w:line="228" w:lineRule="auto"/>
              <w:ind w:left="308"/>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箱</w:t>
            </w:r>
          </w:p>
        </w:tc>
        <w:tc>
          <w:tcPr>
            <w:tcW w:w="2825" w:type="dxa"/>
            <w:vAlign w:val="top"/>
          </w:tcPr>
          <w:p>
            <w:pPr>
              <w:rPr>
                <w:rFonts w:hint="eastAsia"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771" w:type="dxa"/>
            <w:vAlign w:val="top"/>
          </w:tcPr>
          <w:p>
            <w:pPr>
              <w:spacing w:before="288" w:line="192" w:lineRule="auto"/>
              <w:ind w:left="36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2982" w:type="dxa"/>
            <w:vAlign w:val="top"/>
          </w:tcPr>
          <w:p>
            <w:pPr>
              <w:spacing w:before="250" w:line="227" w:lineRule="auto"/>
              <w:ind w:left="1225"/>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6"/>
                <w:sz w:val="24"/>
                <w:szCs w:val="24"/>
              </w:rPr>
              <w:t>打</w:t>
            </w:r>
            <w:r>
              <w:rPr>
                <w:rFonts w:hint="eastAsia" w:ascii="仿宋_GB2312" w:hAnsi="仿宋_GB2312" w:eastAsia="仿宋_GB2312" w:cs="仿宋_GB2312"/>
                <w:color w:val="auto"/>
                <w:spacing w:val="5"/>
                <w:sz w:val="24"/>
                <w:szCs w:val="24"/>
              </w:rPr>
              <w:t>草机</w:t>
            </w:r>
          </w:p>
        </w:tc>
        <w:tc>
          <w:tcPr>
            <w:tcW w:w="836" w:type="dxa"/>
            <w:vAlign w:val="top"/>
          </w:tcPr>
          <w:p>
            <w:pPr>
              <w:spacing w:before="290" w:line="189" w:lineRule="auto"/>
              <w:ind w:left="371"/>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927" w:type="dxa"/>
            <w:vAlign w:val="top"/>
          </w:tcPr>
          <w:p>
            <w:pPr>
              <w:spacing w:before="250" w:line="230" w:lineRule="auto"/>
              <w:ind w:left="325"/>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台</w:t>
            </w:r>
          </w:p>
        </w:tc>
        <w:tc>
          <w:tcPr>
            <w:tcW w:w="2825" w:type="dxa"/>
            <w:vAlign w:val="top"/>
          </w:tcPr>
          <w:p>
            <w:pPr>
              <w:rPr>
                <w:rFonts w:hint="eastAsia"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771" w:type="dxa"/>
            <w:vAlign w:val="top"/>
          </w:tcPr>
          <w:p>
            <w:pPr>
              <w:spacing w:before="292" w:line="189" w:lineRule="auto"/>
              <w:ind w:left="37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2982" w:type="dxa"/>
            <w:vAlign w:val="top"/>
          </w:tcPr>
          <w:p>
            <w:pPr>
              <w:spacing w:before="253" w:line="228" w:lineRule="auto"/>
              <w:ind w:left="98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斯蒂尔油</w:t>
            </w:r>
            <w:r>
              <w:rPr>
                <w:rFonts w:hint="eastAsia" w:ascii="仿宋_GB2312" w:hAnsi="仿宋_GB2312" w:eastAsia="仿宋_GB2312" w:cs="仿宋_GB2312"/>
                <w:color w:val="auto"/>
                <w:spacing w:val="7"/>
                <w:sz w:val="24"/>
                <w:szCs w:val="24"/>
              </w:rPr>
              <w:t>锯</w:t>
            </w:r>
          </w:p>
        </w:tc>
        <w:tc>
          <w:tcPr>
            <w:tcW w:w="836" w:type="dxa"/>
            <w:vAlign w:val="top"/>
          </w:tcPr>
          <w:p>
            <w:pPr>
              <w:spacing w:before="292" w:line="189" w:lineRule="auto"/>
              <w:ind w:left="371"/>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927" w:type="dxa"/>
            <w:vAlign w:val="top"/>
          </w:tcPr>
          <w:p>
            <w:pPr>
              <w:spacing w:before="253" w:line="230" w:lineRule="auto"/>
              <w:ind w:left="325"/>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台</w:t>
            </w:r>
          </w:p>
        </w:tc>
        <w:tc>
          <w:tcPr>
            <w:tcW w:w="2825" w:type="dxa"/>
            <w:vAlign w:val="top"/>
          </w:tcPr>
          <w:p>
            <w:pPr>
              <w:rPr>
                <w:rFonts w:hint="eastAsia"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1" w:hRule="atLeast"/>
        </w:trPr>
        <w:tc>
          <w:tcPr>
            <w:tcW w:w="771" w:type="dxa"/>
            <w:vAlign w:val="top"/>
          </w:tcPr>
          <w:p>
            <w:pPr>
              <w:spacing w:before="291" w:line="190" w:lineRule="auto"/>
              <w:ind w:left="36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2982" w:type="dxa"/>
            <w:vAlign w:val="top"/>
          </w:tcPr>
          <w:p>
            <w:pPr>
              <w:spacing w:before="253" w:line="227" w:lineRule="auto"/>
              <w:ind w:left="134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4"/>
                <w:sz w:val="24"/>
                <w:szCs w:val="24"/>
              </w:rPr>
              <w:t>水</w:t>
            </w:r>
            <w:r>
              <w:rPr>
                <w:rFonts w:hint="eastAsia" w:ascii="仿宋_GB2312" w:hAnsi="仿宋_GB2312" w:eastAsia="仿宋_GB2312" w:cs="仿宋_GB2312"/>
                <w:color w:val="auto"/>
                <w:spacing w:val="3"/>
                <w:sz w:val="24"/>
                <w:szCs w:val="24"/>
              </w:rPr>
              <w:t>枪</w:t>
            </w:r>
          </w:p>
        </w:tc>
        <w:tc>
          <w:tcPr>
            <w:tcW w:w="836" w:type="dxa"/>
            <w:vAlign w:val="top"/>
          </w:tcPr>
          <w:p>
            <w:pPr>
              <w:spacing w:before="291" w:line="190" w:lineRule="auto"/>
              <w:ind w:left="30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2</w:t>
            </w:r>
            <w:r>
              <w:rPr>
                <w:rFonts w:hint="eastAsia" w:ascii="仿宋_GB2312" w:hAnsi="仿宋_GB2312" w:eastAsia="仿宋_GB2312" w:cs="仿宋_GB2312"/>
                <w:color w:val="auto"/>
                <w:spacing w:val="-1"/>
                <w:sz w:val="24"/>
                <w:szCs w:val="24"/>
              </w:rPr>
              <w:t>5</w:t>
            </w:r>
          </w:p>
        </w:tc>
        <w:tc>
          <w:tcPr>
            <w:tcW w:w="927" w:type="dxa"/>
            <w:vAlign w:val="top"/>
          </w:tcPr>
          <w:p>
            <w:pPr>
              <w:spacing w:before="253" w:line="227" w:lineRule="auto"/>
              <w:ind w:left="30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个</w:t>
            </w:r>
          </w:p>
        </w:tc>
        <w:tc>
          <w:tcPr>
            <w:tcW w:w="2825" w:type="dxa"/>
            <w:vAlign w:val="top"/>
          </w:tcPr>
          <w:p>
            <w:pPr>
              <w:rPr>
                <w:rFonts w:hint="eastAsia"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771" w:type="dxa"/>
            <w:vAlign w:val="top"/>
          </w:tcPr>
          <w:p>
            <w:pPr>
              <w:spacing w:before="292" w:line="189" w:lineRule="auto"/>
              <w:ind w:left="37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2982" w:type="dxa"/>
            <w:vAlign w:val="top"/>
          </w:tcPr>
          <w:p>
            <w:pPr>
              <w:spacing w:before="253" w:line="228" w:lineRule="auto"/>
              <w:ind w:left="134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6"/>
                <w:sz w:val="24"/>
                <w:szCs w:val="24"/>
              </w:rPr>
              <w:t>铁</w:t>
            </w:r>
            <w:r>
              <w:rPr>
                <w:rFonts w:hint="eastAsia" w:ascii="仿宋_GB2312" w:hAnsi="仿宋_GB2312" w:eastAsia="仿宋_GB2312" w:cs="仿宋_GB2312"/>
                <w:color w:val="auto"/>
                <w:spacing w:val="5"/>
                <w:sz w:val="24"/>
                <w:szCs w:val="24"/>
              </w:rPr>
              <w:t>锹</w:t>
            </w:r>
          </w:p>
        </w:tc>
        <w:tc>
          <w:tcPr>
            <w:tcW w:w="836" w:type="dxa"/>
            <w:vAlign w:val="top"/>
          </w:tcPr>
          <w:p>
            <w:pPr>
              <w:spacing w:before="290" w:line="191" w:lineRule="auto"/>
              <w:ind w:left="26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5"/>
                <w:sz w:val="24"/>
                <w:szCs w:val="24"/>
              </w:rPr>
              <w:t>1</w:t>
            </w:r>
            <w:r>
              <w:rPr>
                <w:rFonts w:hint="eastAsia" w:ascii="仿宋_GB2312" w:hAnsi="仿宋_GB2312" w:eastAsia="仿宋_GB2312" w:cs="仿宋_GB2312"/>
                <w:color w:val="auto"/>
                <w:spacing w:val="-4"/>
                <w:sz w:val="24"/>
                <w:szCs w:val="24"/>
              </w:rPr>
              <w:t>20</w:t>
            </w:r>
          </w:p>
        </w:tc>
        <w:tc>
          <w:tcPr>
            <w:tcW w:w="927" w:type="dxa"/>
            <w:vAlign w:val="top"/>
          </w:tcPr>
          <w:p>
            <w:pPr>
              <w:spacing w:before="252" w:line="230" w:lineRule="auto"/>
              <w:ind w:left="30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把</w:t>
            </w:r>
          </w:p>
        </w:tc>
        <w:tc>
          <w:tcPr>
            <w:tcW w:w="2825" w:type="dxa"/>
            <w:vAlign w:val="top"/>
          </w:tcPr>
          <w:p>
            <w:pPr>
              <w:rPr>
                <w:rFonts w:hint="eastAsia" w:ascii="仿宋_GB2312" w:hAnsi="仿宋_GB2312" w:eastAsia="仿宋_GB2312" w:cs="仿宋_GB2312"/>
                <w:color w:val="auto"/>
                <w:sz w:val="24"/>
                <w:szCs w:val="24"/>
              </w:rPr>
            </w:pPr>
          </w:p>
        </w:tc>
      </w:tr>
    </w:tbl>
    <w:p>
      <w:pPr>
        <w:rPr>
          <w:color w:val="auto"/>
        </w:rPr>
        <w:sectPr>
          <w:pgSz w:w="11906" w:h="16839"/>
          <w:pgMar w:top="1431" w:right="1778" w:bottom="0" w:left="1780" w:header="0" w:footer="992" w:gutter="0"/>
          <w:pgBorders>
            <w:top w:val="none" w:sz="0" w:space="0"/>
            <w:left w:val="none" w:sz="0" w:space="0"/>
            <w:bottom w:val="none" w:sz="0" w:space="0"/>
            <w:right w:val="none" w:sz="0" w:space="0"/>
          </w:pgBorders>
          <w:pgNumType w:fmt="decimal"/>
          <w:cols w:space="720" w:num="1"/>
        </w:sectPr>
      </w:pPr>
    </w:p>
    <w:p>
      <w:pPr>
        <w:bidi w:val="0"/>
        <w:jc w:val="center"/>
        <w:rPr>
          <w:rFonts w:hint="eastAsia" w:ascii="黑体" w:hAnsi="黑体" w:eastAsia="黑体" w:cs="黑体"/>
          <w:color w:val="auto"/>
          <w:sz w:val="32"/>
          <w:szCs w:val="32"/>
        </w:rPr>
      </w:pPr>
    </w:p>
    <w:p>
      <w:pPr>
        <w:bidi w:val="0"/>
        <w:jc w:val="center"/>
        <w:rPr>
          <w:rFonts w:hint="eastAsia"/>
          <w:color w:val="auto"/>
        </w:rPr>
      </w:pPr>
      <w:r>
        <w:rPr>
          <w:rFonts w:hint="eastAsia" w:ascii="黑体" w:hAnsi="黑体" w:eastAsia="黑体" w:cs="黑体"/>
          <w:color w:val="auto"/>
          <w:sz w:val="32"/>
          <w:szCs w:val="32"/>
        </w:rPr>
        <w:t>古路板管理站车辆清单</w:t>
      </w:r>
    </w:p>
    <w:p>
      <w:pPr>
        <w:spacing w:line="69" w:lineRule="exact"/>
        <w:rPr>
          <w:color w:val="auto"/>
        </w:rPr>
      </w:pPr>
    </w:p>
    <w:tbl>
      <w:tblPr>
        <w:tblStyle w:val="25"/>
        <w:tblW w:w="832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19"/>
        <w:gridCol w:w="1285"/>
        <w:gridCol w:w="1187"/>
        <w:gridCol w:w="1285"/>
        <w:gridCol w:w="1099"/>
        <w:gridCol w:w="13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2119" w:type="dxa"/>
            <w:vMerge w:val="restart"/>
            <w:tcBorders>
              <w:left w:val="single" w:color="000000" w:sz="6" w:space="0"/>
              <w:right w:val="single" w:color="000000" w:sz="6" w:space="0"/>
              <w:tl2br w:val="single" w:color="000000" w:sz="2" w:space="0"/>
            </w:tcBorders>
            <w:vAlign w:val="top"/>
          </w:tcPr>
          <w:p>
            <w:pPr>
              <w:spacing w:before="249" w:line="228" w:lineRule="auto"/>
              <w:ind w:firstLine="747" w:firstLineChars="300"/>
              <w:jc w:val="both"/>
              <w:rPr>
                <w:rFonts w:hint="eastAsia" w:ascii="仿宋_GB2312" w:hAnsi="仿宋_GB2312" w:eastAsia="仿宋_GB2312" w:cs="仿宋_GB2312"/>
                <w:b/>
                <w:bCs/>
                <w:i w:val="0"/>
                <w:iCs w:val="0"/>
                <w:color w:val="auto"/>
                <w:spacing w:val="4"/>
                <w:sz w:val="24"/>
                <w:szCs w:val="24"/>
                <w:lang w:val="en-US" w:eastAsia="zh-CN"/>
              </w:rPr>
            </w:pPr>
            <w:r>
              <w:rPr>
                <w:rFonts w:hint="eastAsia" w:ascii="仿宋_GB2312" w:hAnsi="仿宋_GB2312" w:eastAsia="仿宋_GB2312" w:cs="仿宋_GB2312"/>
                <w:b/>
                <w:bCs/>
                <w:i w:val="0"/>
                <w:iCs w:val="0"/>
                <w:color w:val="auto"/>
                <w:spacing w:val="4"/>
                <w:sz w:val="24"/>
                <w:szCs w:val="24"/>
                <w:lang w:val="en-US" w:eastAsia="zh-CN"/>
              </w:rPr>
              <w:t>车辆类型</w:t>
            </w:r>
          </w:p>
          <w:p>
            <w:pPr>
              <w:spacing w:before="249" w:line="228" w:lineRule="auto"/>
              <w:rPr>
                <w:rFonts w:hint="default" w:ascii="仿宋_GB2312" w:hAnsi="仿宋_GB2312" w:eastAsia="仿宋_GB2312" w:cs="仿宋_GB2312"/>
                <w:color w:val="auto"/>
                <w:spacing w:val="4"/>
                <w:sz w:val="24"/>
                <w:szCs w:val="24"/>
                <w:lang w:val="en-US" w:eastAsia="zh-CN"/>
              </w:rPr>
            </w:pPr>
            <w:r>
              <w:rPr>
                <w:rFonts w:hint="eastAsia" w:ascii="仿宋_GB2312" w:hAnsi="仿宋_GB2312" w:eastAsia="仿宋_GB2312" w:cs="仿宋_GB2312"/>
                <w:b/>
                <w:bCs/>
                <w:color w:val="auto"/>
                <w:spacing w:val="4"/>
                <w:sz w:val="24"/>
                <w:szCs w:val="24"/>
                <w:lang w:val="en-US" w:eastAsia="zh-CN"/>
              </w:rPr>
              <w:t>存放地点</w:t>
            </w:r>
          </w:p>
        </w:tc>
        <w:tc>
          <w:tcPr>
            <w:tcW w:w="1285" w:type="dxa"/>
            <w:tcBorders>
              <w:left w:val="single" w:color="000000" w:sz="6" w:space="0"/>
            </w:tcBorders>
            <w:vAlign w:val="top"/>
          </w:tcPr>
          <w:p>
            <w:pPr>
              <w:spacing w:before="249" w:line="228" w:lineRule="auto"/>
              <w:jc w:val="center"/>
              <w:rPr>
                <w:rFonts w:hint="eastAsia" w:ascii="仿宋_GB2312" w:hAnsi="仿宋_GB2312" w:eastAsia="仿宋_GB2312" w:cs="仿宋_GB2312"/>
                <w:b/>
                <w:bCs/>
                <w:color w:val="auto"/>
                <w:spacing w:val="4"/>
                <w:sz w:val="24"/>
                <w:szCs w:val="24"/>
              </w:rPr>
            </w:pPr>
            <w:r>
              <w:rPr>
                <w:rFonts w:hint="eastAsia" w:ascii="仿宋_GB2312" w:hAnsi="仿宋_GB2312" w:eastAsia="仿宋_GB2312" w:cs="仿宋_GB2312"/>
                <w:b/>
                <w:bCs/>
                <w:color w:val="auto"/>
                <w:spacing w:val="4"/>
                <w:sz w:val="24"/>
                <w:szCs w:val="24"/>
              </w:rPr>
              <w:t>运兵车</w:t>
            </w:r>
          </w:p>
        </w:tc>
        <w:tc>
          <w:tcPr>
            <w:tcW w:w="1187" w:type="dxa"/>
            <w:vAlign w:val="top"/>
          </w:tcPr>
          <w:p>
            <w:pPr>
              <w:spacing w:before="249" w:line="228" w:lineRule="auto"/>
              <w:jc w:val="center"/>
              <w:rPr>
                <w:rFonts w:hint="eastAsia" w:ascii="仿宋_GB2312" w:hAnsi="仿宋_GB2312" w:eastAsia="仿宋_GB2312" w:cs="仿宋_GB2312"/>
                <w:b/>
                <w:bCs/>
                <w:color w:val="auto"/>
                <w:spacing w:val="4"/>
                <w:sz w:val="24"/>
                <w:szCs w:val="24"/>
              </w:rPr>
            </w:pPr>
            <w:r>
              <w:rPr>
                <w:rFonts w:hint="eastAsia" w:ascii="仿宋_GB2312" w:hAnsi="仿宋_GB2312" w:eastAsia="仿宋_GB2312" w:cs="仿宋_GB2312"/>
                <w:b/>
                <w:bCs/>
                <w:color w:val="auto"/>
                <w:spacing w:val="4"/>
                <w:sz w:val="24"/>
                <w:szCs w:val="24"/>
                <w:lang w:val="en-US" w:eastAsia="zh-CN"/>
              </w:rPr>
              <w:t>水</w:t>
            </w:r>
            <w:r>
              <w:rPr>
                <w:rFonts w:hint="eastAsia" w:ascii="仿宋_GB2312" w:hAnsi="仿宋_GB2312" w:eastAsia="仿宋_GB2312" w:cs="仿宋_GB2312"/>
                <w:b/>
                <w:bCs/>
                <w:color w:val="auto"/>
                <w:spacing w:val="4"/>
                <w:sz w:val="24"/>
                <w:szCs w:val="24"/>
              </w:rPr>
              <w:t>罐车</w:t>
            </w:r>
          </w:p>
        </w:tc>
        <w:tc>
          <w:tcPr>
            <w:tcW w:w="1285" w:type="dxa"/>
            <w:vAlign w:val="top"/>
          </w:tcPr>
          <w:p>
            <w:pPr>
              <w:spacing w:before="249" w:line="228" w:lineRule="auto"/>
              <w:jc w:val="center"/>
              <w:rPr>
                <w:rFonts w:hint="eastAsia" w:ascii="仿宋_GB2312" w:hAnsi="仿宋_GB2312" w:eastAsia="仿宋_GB2312" w:cs="仿宋_GB2312"/>
                <w:b/>
                <w:bCs/>
                <w:color w:val="auto"/>
                <w:spacing w:val="4"/>
                <w:sz w:val="24"/>
                <w:szCs w:val="24"/>
              </w:rPr>
            </w:pPr>
            <w:r>
              <w:rPr>
                <w:rFonts w:hint="eastAsia" w:ascii="仿宋_GB2312" w:hAnsi="仿宋_GB2312" w:eastAsia="仿宋_GB2312" w:cs="仿宋_GB2312"/>
                <w:b/>
                <w:bCs/>
                <w:color w:val="auto"/>
                <w:spacing w:val="4"/>
                <w:sz w:val="24"/>
                <w:szCs w:val="24"/>
              </w:rPr>
              <w:t>拖拉机</w:t>
            </w:r>
          </w:p>
        </w:tc>
        <w:tc>
          <w:tcPr>
            <w:tcW w:w="1099" w:type="dxa"/>
            <w:vAlign w:val="top"/>
          </w:tcPr>
          <w:p>
            <w:pPr>
              <w:spacing w:before="249" w:line="228" w:lineRule="auto"/>
              <w:jc w:val="center"/>
              <w:rPr>
                <w:rFonts w:hint="eastAsia" w:ascii="仿宋_GB2312" w:hAnsi="仿宋_GB2312" w:eastAsia="仿宋_GB2312" w:cs="仿宋_GB2312"/>
                <w:b/>
                <w:bCs/>
                <w:color w:val="auto"/>
                <w:spacing w:val="4"/>
                <w:sz w:val="24"/>
                <w:szCs w:val="24"/>
              </w:rPr>
            </w:pPr>
            <w:r>
              <w:rPr>
                <w:rFonts w:hint="eastAsia" w:ascii="仿宋_GB2312" w:hAnsi="仿宋_GB2312" w:eastAsia="仿宋_GB2312" w:cs="仿宋_GB2312"/>
                <w:b/>
                <w:bCs/>
                <w:color w:val="auto"/>
                <w:spacing w:val="4"/>
                <w:sz w:val="24"/>
                <w:szCs w:val="24"/>
              </w:rPr>
              <w:t>移动检 查站</w:t>
            </w:r>
          </w:p>
        </w:tc>
        <w:tc>
          <w:tcPr>
            <w:tcW w:w="1353" w:type="dxa"/>
            <w:vAlign w:val="top"/>
          </w:tcPr>
          <w:p>
            <w:pPr>
              <w:spacing w:before="249" w:line="228" w:lineRule="auto"/>
              <w:jc w:val="center"/>
              <w:rPr>
                <w:rFonts w:hint="eastAsia" w:ascii="仿宋_GB2312" w:hAnsi="仿宋_GB2312" w:eastAsia="仿宋_GB2312" w:cs="仿宋_GB2312"/>
                <w:b/>
                <w:bCs/>
                <w:color w:val="auto"/>
                <w:spacing w:val="4"/>
                <w:sz w:val="24"/>
                <w:szCs w:val="24"/>
              </w:rPr>
            </w:pPr>
            <w:r>
              <w:rPr>
                <w:rFonts w:hint="eastAsia" w:ascii="仿宋_GB2312" w:hAnsi="仿宋_GB2312" w:eastAsia="仿宋_GB2312" w:cs="仿宋_GB2312"/>
                <w:b/>
                <w:bCs/>
                <w:color w:val="auto"/>
                <w:spacing w:val="4"/>
                <w:sz w:val="24"/>
                <w:szCs w:val="24"/>
              </w:rPr>
              <w:t>铧犁等设备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2119" w:type="dxa"/>
            <w:vMerge w:val="continue"/>
            <w:tcBorders>
              <w:left w:val="single" w:color="000000" w:sz="6" w:space="0"/>
              <w:right w:val="single" w:color="000000" w:sz="6" w:space="0"/>
            </w:tcBorders>
            <w:vAlign w:val="top"/>
          </w:tcPr>
          <w:p>
            <w:pPr>
              <w:spacing w:before="249" w:line="228" w:lineRule="auto"/>
              <w:ind w:left="932"/>
              <w:rPr>
                <w:rFonts w:hint="eastAsia" w:ascii="仿宋_GB2312" w:hAnsi="仿宋_GB2312" w:eastAsia="仿宋_GB2312" w:cs="仿宋_GB2312"/>
                <w:color w:val="auto"/>
                <w:spacing w:val="4"/>
                <w:sz w:val="24"/>
                <w:szCs w:val="24"/>
              </w:rPr>
            </w:pPr>
          </w:p>
        </w:tc>
        <w:tc>
          <w:tcPr>
            <w:tcW w:w="1285" w:type="dxa"/>
            <w:tcBorders>
              <w:left w:val="single" w:color="000000" w:sz="6" w:space="0"/>
            </w:tcBorders>
            <w:vAlign w:val="center"/>
          </w:tcPr>
          <w:p>
            <w:pPr>
              <w:spacing w:before="249" w:line="228" w:lineRule="auto"/>
              <w:jc w:val="center"/>
              <w:rPr>
                <w:rFonts w:hint="eastAsia" w:ascii="仿宋_GB2312" w:hAnsi="仿宋_GB2312" w:eastAsia="仿宋_GB2312" w:cs="仿宋_GB2312"/>
                <w:color w:val="auto"/>
                <w:spacing w:val="4"/>
                <w:sz w:val="24"/>
                <w:szCs w:val="24"/>
              </w:rPr>
            </w:pPr>
            <w:r>
              <w:rPr>
                <w:rFonts w:hint="eastAsia" w:ascii="仿宋_GB2312" w:hAnsi="仿宋_GB2312" w:eastAsia="仿宋_GB2312" w:cs="仿宋_GB2312"/>
                <w:color w:val="auto"/>
                <w:spacing w:val="4"/>
                <w:sz w:val="24"/>
                <w:szCs w:val="24"/>
              </w:rPr>
              <w:t>辆</w:t>
            </w:r>
          </w:p>
        </w:tc>
        <w:tc>
          <w:tcPr>
            <w:tcW w:w="1187" w:type="dxa"/>
            <w:vAlign w:val="center"/>
          </w:tcPr>
          <w:p>
            <w:pPr>
              <w:spacing w:before="249" w:line="228" w:lineRule="auto"/>
              <w:jc w:val="center"/>
              <w:rPr>
                <w:rFonts w:hint="eastAsia" w:ascii="仿宋_GB2312" w:hAnsi="仿宋_GB2312" w:eastAsia="仿宋_GB2312" w:cs="仿宋_GB2312"/>
                <w:color w:val="auto"/>
                <w:spacing w:val="4"/>
                <w:sz w:val="24"/>
                <w:szCs w:val="24"/>
              </w:rPr>
            </w:pPr>
            <w:r>
              <w:rPr>
                <w:rFonts w:hint="eastAsia" w:ascii="仿宋_GB2312" w:hAnsi="仿宋_GB2312" w:eastAsia="仿宋_GB2312" w:cs="仿宋_GB2312"/>
                <w:color w:val="auto"/>
                <w:spacing w:val="4"/>
                <w:sz w:val="24"/>
                <w:szCs w:val="24"/>
              </w:rPr>
              <w:t>辆</w:t>
            </w:r>
          </w:p>
        </w:tc>
        <w:tc>
          <w:tcPr>
            <w:tcW w:w="1285" w:type="dxa"/>
            <w:vAlign w:val="center"/>
          </w:tcPr>
          <w:p>
            <w:pPr>
              <w:spacing w:before="249" w:line="228" w:lineRule="auto"/>
              <w:jc w:val="center"/>
              <w:rPr>
                <w:rFonts w:hint="eastAsia" w:ascii="仿宋_GB2312" w:hAnsi="仿宋_GB2312" w:eastAsia="仿宋_GB2312" w:cs="仿宋_GB2312"/>
                <w:color w:val="auto"/>
                <w:spacing w:val="4"/>
                <w:sz w:val="24"/>
                <w:szCs w:val="24"/>
              </w:rPr>
            </w:pPr>
            <w:r>
              <w:rPr>
                <w:rFonts w:hint="eastAsia" w:ascii="仿宋_GB2312" w:hAnsi="仿宋_GB2312" w:eastAsia="仿宋_GB2312" w:cs="仿宋_GB2312"/>
                <w:color w:val="auto"/>
                <w:spacing w:val="4"/>
                <w:sz w:val="24"/>
                <w:szCs w:val="24"/>
              </w:rPr>
              <w:t>台</w:t>
            </w:r>
          </w:p>
        </w:tc>
        <w:tc>
          <w:tcPr>
            <w:tcW w:w="1099" w:type="dxa"/>
            <w:vAlign w:val="center"/>
          </w:tcPr>
          <w:p>
            <w:pPr>
              <w:spacing w:before="249" w:line="228" w:lineRule="auto"/>
              <w:jc w:val="center"/>
              <w:rPr>
                <w:rFonts w:hint="eastAsia" w:ascii="仿宋_GB2312" w:hAnsi="仿宋_GB2312" w:eastAsia="仿宋_GB2312" w:cs="仿宋_GB2312"/>
                <w:color w:val="auto"/>
                <w:spacing w:val="4"/>
                <w:sz w:val="24"/>
                <w:szCs w:val="24"/>
              </w:rPr>
            </w:pPr>
            <w:r>
              <w:rPr>
                <w:rFonts w:hint="eastAsia" w:ascii="仿宋_GB2312" w:hAnsi="仿宋_GB2312" w:eastAsia="仿宋_GB2312" w:cs="仿宋_GB2312"/>
                <w:color w:val="auto"/>
                <w:spacing w:val="4"/>
                <w:sz w:val="24"/>
                <w:szCs w:val="24"/>
              </w:rPr>
              <w:t>个</w:t>
            </w:r>
          </w:p>
        </w:tc>
        <w:tc>
          <w:tcPr>
            <w:tcW w:w="1353" w:type="dxa"/>
            <w:vAlign w:val="center"/>
          </w:tcPr>
          <w:p>
            <w:pPr>
              <w:spacing w:before="249" w:line="228" w:lineRule="auto"/>
              <w:jc w:val="center"/>
              <w:rPr>
                <w:rFonts w:hint="eastAsia" w:ascii="仿宋_GB2312" w:hAnsi="仿宋_GB2312" w:eastAsia="仿宋_GB2312" w:cs="仿宋_GB2312"/>
                <w:color w:val="auto"/>
                <w:spacing w:val="4"/>
                <w:sz w:val="24"/>
                <w:szCs w:val="24"/>
              </w:rPr>
            </w:pPr>
            <w:r>
              <w:rPr>
                <w:rFonts w:hint="eastAsia" w:ascii="仿宋_GB2312" w:hAnsi="仿宋_GB2312" w:eastAsia="仿宋_GB2312" w:cs="仿宋_GB2312"/>
                <w:color w:val="auto"/>
                <w:spacing w:val="4"/>
                <w:sz w:val="24"/>
                <w:szCs w:val="24"/>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2119" w:type="dxa"/>
            <w:tcBorders>
              <w:left w:val="single" w:color="000000" w:sz="6" w:space="0"/>
              <w:right w:val="single" w:color="000000" w:sz="6" w:space="0"/>
            </w:tcBorders>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古路板管理站</w:t>
            </w:r>
          </w:p>
        </w:tc>
        <w:tc>
          <w:tcPr>
            <w:tcW w:w="1285" w:type="dxa"/>
            <w:tcBorders>
              <w:left w:val="single" w:color="000000" w:sz="6" w:space="0"/>
            </w:tcBorders>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1187" w:type="dxa"/>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285" w:type="dxa"/>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099" w:type="dxa"/>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1353" w:type="dxa"/>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r>
    </w:tbl>
    <w:p>
      <w:pPr>
        <w:spacing w:line="314" w:lineRule="auto"/>
        <w:rPr>
          <w:rFonts w:hint="eastAsia" w:ascii="仿宋_GB2312" w:hAnsi="仿宋_GB2312" w:eastAsia="仿宋_GB2312" w:cs="仿宋_GB2312"/>
          <w:color w:val="auto"/>
          <w:sz w:val="24"/>
          <w:szCs w:val="24"/>
        </w:rPr>
      </w:pPr>
    </w:p>
    <w:p>
      <w:pPr>
        <w:spacing w:line="315" w:lineRule="auto"/>
        <w:rPr>
          <w:rFonts w:ascii="Arial"/>
          <w:color w:val="auto"/>
          <w:sz w:val="21"/>
        </w:rPr>
      </w:pPr>
    </w:p>
    <w:p>
      <w:pPr>
        <w:bidi w:val="0"/>
        <w:jc w:val="center"/>
        <w:rPr>
          <w:rFonts w:hint="eastAsia" w:ascii="黑体" w:hAnsi="黑体" w:eastAsia="黑体" w:cs="黑体"/>
          <w:color w:val="auto"/>
          <w:sz w:val="32"/>
          <w:szCs w:val="32"/>
        </w:rPr>
      </w:pPr>
    </w:p>
    <w:p>
      <w:pPr>
        <w:bidi w:val="0"/>
        <w:jc w:val="center"/>
        <w:rPr>
          <w:rFonts w:hint="eastAsia"/>
          <w:color w:val="auto"/>
        </w:rPr>
      </w:pPr>
      <w:r>
        <w:rPr>
          <w:rFonts w:hint="eastAsia" w:ascii="黑体" w:hAnsi="黑体" w:eastAsia="黑体" w:cs="黑体"/>
          <w:color w:val="auto"/>
          <w:sz w:val="32"/>
          <w:szCs w:val="32"/>
        </w:rPr>
        <w:t>古路板管理站灭火物资清单</w:t>
      </w:r>
    </w:p>
    <w:p>
      <w:pPr>
        <w:spacing w:line="70" w:lineRule="exact"/>
        <w:rPr>
          <w:color w:val="auto"/>
        </w:rPr>
      </w:pPr>
    </w:p>
    <w:tbl>
      <w:tblPr>
        <w:tblStyle w:val="25"/>
        <w:tblW w:w="875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43"/>
        <w:gridCol w:w="1342"/>
        <w:gridCol w:w="1415"/>
        <w:gridCol w:w="921"/>
        <w:gridCol w:w="879"/>
        <w:gridCol w:w="795"/>
        <w:gridCol w:w="10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2343" w:type="dxa"/>
            <w:vMerge w:val="restart"/>
            <w:tcBorders>
              <w:left w:val="single" w:color="000000" w:sz="6" w:space="0"/>
              <w:right w:val="single" w:color="000000" w:sz="6" w:space="0"/>
              <w:tl2br w:val="single" w:color="000000" w:sz="2" w:space="0"/>
            </w:tcBorders>
            <w:vAlign w:val="top"/>
          </w:tcPr>
          <w:p>
            <w:pPr>
              <w:bidi w:val="0"/>
              <w:rPr>
                <w:rFonts w:hint="eastAsia"/>
                <w:color w:val="auto"/>
              </w:rPr>
            </w:pPr>
          </w:p>
          <w:p>
            <w:pPr>
              <w:bidi w:val="0"/>
              <w:jc w:val="center"/>
              <w:rPr>
                <w:rFonts w:hint="eastAsia" w:ascii="仿宋_GB2312" w:hAnsi="仿宋_GB2312" w:eastAsia="仿宋_GB2312" w:cs="仿宋_GB2312"/>
                <w:b/>
                <w:bCs/>
                <w:color w:val="auto"/>
                <w:sz w:val="24"/>
                <w:szCs w:val="24"/>
                <w:lang w:val="en-US" w:eastAsia="zh-CN"/>
              </w:rPr>
            </w:pPr>
            <w:r>
              <w:rPr>
                <w:rFonts w:hint="eastAsia"/>
                <w:color w:val="auto"/>
                <w:lang w:val="en-US" w:eastAsia="zh-CN"/>
              </w:rPr>
              <w:t xml:space="preserve">     </w:t>
            </w:r>
            <w:r>
              <w:rPr>
                <w:rFonts w:hint="eastAsia"/>
                <w:b/>
                <w:bCs/>
                <w:color w:val="auto"/>
                <w:lang w:val="en-US" w:eastAsia="zh-CN"/>
              </w:rPr>
              <w:t xml:space="preserve"> </w:t>
            </w:r>
            <w:r>
              <w:rPr>
                <w:rFonts w:hint="eastAsia" w:ascii="仿宋_GB2312" w:hAnsi="仿宋_GB2312" w:eastAsia="仿宋_GB2312" w:cs="仿宋_GB2312"/>
                <w:b/>
                <w:bCs/>
                <w:color w:val="auto"/>
                <w:sz w:val="24"/>
                <w:szCs w:val="24"/>
                <w:lang w:val="en-US" w:eastAsia="zh-CN"/>
              </w:rPr>
              <w:t xml:space="preserve">    物资类型</w:t>
            </w:r>
          </w:p>
          <w:p>
            <w:pPr>
              <w:bidi w:val="0"/>
              <w:rPr>
                <w:rFonts w:hint="eastAsia" w:ascii="仿宋_GB2312" w:hAnsi="仿宋_GB2312" w:eastAsia="仿宋_GB2312" w:cs="仿宋_GB2312"/>
                <w:b/>
                <w:bCs/>
                <w:color w:val="auto"/>
                <w:sz w:val="24"/>
                <w:szCs w:val="24"/>
                <w:lang w:val="en-US" w:eastAsia="zh-CN"/>
              </w:rPr>
            </w:pPr>
          </w:p>
          <w:p>
            <w:pPr>
              <w:bidi w:val="0"/>
              <w:rPr>
                <w:rFonts w:hint="eastAsia" w:ascii="仿宋_GB2312" w:hAnsi="仿宋_GB2312" w:eastAsia="仿宋_GB2312" w:cs="仿宋_GB2312"/>
                <w:b/>
                <w:bCs/>
                <w:color w:val="auto"/>
                <w:sz w:val="24"/>
                <w:szCs w:val="24"/>
                <w:lang w:val="en-US" w:eastAsia="zh-CN"/>
              </w:rPr>
            </w:pPr>
          </w:p>
          <w:p>
            <w:pPr>
              <w:bidi w:val="0"/>
              <w:jc w:val="left"/>
              <w:rPr>
                <w:rFonts w:hint="default"/>
                <w:color w:val="auto"/>
                <w:lang w:val="en-US" w:eastAsia="zh-CN"/>
              </w:rPr>
            </w:pPr>
            <w:r>
              <w:rPr>
                <w:rFonts w:hint="eastAsia" w:ascii="仿宋_GB2312" w:hAnsi="仿宋_GB2312" w:eastAsia="仿宋_GB2312" w:cs="仿宋_GB2312"/>
                <w:b/>
                <w:bCs/>
                <w:color w:val="auto"/>
                <w:sz w:val="24"/>
                <w:szCs w:val="24"/>
                <w:lang w:val="en-US" w:eastAsia="zh-CN"/>
              </w:rPr>
              <w:t>存放地点</w:t>
            </w:r>
          </w:p>
        </w:tc>
        <w:tc>
          <w:tcPr>
            <w:tcW w:w="1342" w:type="dxa"/>
            <w:tcBorders>
              <w:left w:val="single" w:color="000000" w:sz="6" w:space="0"/>
            </w:tcBorders>
            <w:vAlign w:val="center"/>
          </w:tcPr>
          <w:p>
            <w:pPr>
              <w:spacing w:before="249" w:line="228" w:lineRule="auto"/>
              <w:jc w:val="center"/>
              <w:rPr>
                <w:rFonts w:hint="eastAsia" w:ascii="仿宋_GB2312" w:hAnsi="仿宋_GB2312" w:eastAsia="仿宋_GB2312" w:cs="仿宋_GB2312"/>
                <w:b/>
                <w:bCs/>
                <w:color w:val="auto"/>
                <w:spacing w:val="4"/>
                <w:sz w:val="24"/>
                <w:szCs w:val="24"/>
              </w:rPr>
            </w:pPr>
            <w:r>
              <w:rPr>
                <w:rFonts w:hint="eastAsia" w:ascii="仿宋_GB2312" w:hAnsi="仿宋_GB2312" w:eastAsia="仿宋_GB2312" w:cs="仿宋_GB2312"/>
                <w:b/>
                <w:bCs/>
                <w:color w:val="auto"/>
                <w:spacing w:val="4"/>
                <w:sz w:val="24"/>
                <w:szCs w:val="24"/>
              </w:rPr>
              <w:t>风力灭火机</w:t>
            </w:r>
          </w:p>
        </w:tc>
        <w:tc>
          <w:tcPr>
            <w:tcW w:w="1415" w:type="dxa"/>
            <w:vAlign w:val="center"/>
          </w:tcPr>
          <w:p>
            <w:pPr>
              <w:spacing w:before="249" w:line="228" w:lineRule="auto"/>
              <w:jc w:val="center"/>
              <w:rPr>
                <w:rFonts w:hint="eastAsia" w:ascii="仿宋_GB2312" w:hAnsi="仿宋_GB2312" w:eastAsia="仿宋_GB2312" w:cs="仿宋_GB2312"/>
                <w:b/>
                <w:bCs/>
                <w:color w:val="auto"/>
                <w:spacing w:val="4"/>
                <w:sz w:val="24"/>
                <w:szCs w:val="24"/>
              </w:rPr>
            </w:pPr>
            <w:r>
              <w:rPr>
                <w:rFonts w:hint="eastAsia" w:ascii="仿宋_GB2312" w:hAnsi="仿宋_GB2312" w:eastAsia="仿宋_GB2312" w:cs="仿宋_GB2312"/>
                <w:b/>
                <w:bCs/>
                <w:color w:val="auto"/>
                <w:spacing w:val="4"/>
                <w:sz w:val="24"/>
                <w:szCs w:val="24"/>
              </w:rPr>
              <w:t>二号工具</w:t>
            </w:r>
          </w:p>
        </w:tc>
        <w:tc>
          <w:tcPr>
            <w:tcW w:w="921" w:type="dxa"/>
            <w:vAlign w:val="center"/>
          </w:tcPr>
          <w:p>
            <w:pPr>
              <w:spacing w:before="249" w:line="228" w:lineRule="auto"/>
              <w:jc w:val="center"/>
              <w:rPr>
                <w:rFonts w:hint="eastAsia" w:ascii="仿宋_GB2312" w:hAnsi="仿宋_GB2312" w:eastAsia="仿宋_GB2312" w:cs="仿宋_GB2312"/>
                <w:b/>
                <w:bCs/>
                <w:color w:val="auto"/>
                <w:spacing w:val="4"/>
                <w:sz w:val="24"/>
                <w:szCs w:val="24"/>
              </w:rPr>
            </w:pPr>
            <w:r>
              <w:rPr>
                <w:rFonts w:hint="eastAsia" w:ascii="仿宋_GB2312" w:hAnsi="仿宋_GB2312" w:eastAsia="仿宋_GB2312" w:cs="仿宋_GB2312"/>
                <w:b/>
                <w:bCs/>
                <w:color w:val="auto"/>
                <w:spacing w:val="4"/>
                <w:sz w:val="24"/>
                <w:szCs w:val="24"/>
              </w:rPr>
              <w:t>望远镜</w:t>
            </w:r>
          </w:p>
        </w:tc>
        <w:tc>
          <w:tcPr>
            <w:tcW w:w="879" w:type="dxa"/>
            <w:vAlign w:val="center"/>
          </w:tcPr>
          <w:p>
            <w:pPr>
              <w:spacing w:before="249" w:line="228" w:lineRule="auto"/>
              <w:jc w:val="center"/>
              <w:rPr>
                <w:rFonts w:hint="eastAsia" w:ascii="仿宋_GB2312" w:hAnsi="仿宋_GB2312" w:eastAsia="仿宋_GB2312" w:cs="仿宋_GB2312"/>
                <w:b/>
                <w:bCs/>
                <w:color w:val="auto"/>
                <w:spacing w:val="4"/>
                <w:sz w:val="24"/>
                <w:szCs w:val="24"/>
              </w:rPr>
            </w:pPr>
            <w:r>
              <w:rPr>
                <w:rFonts w:hint="eastAsia" w:ascii="仿宋_GB2312" w:hAnsi="仿宋_GB2312" w:eastAsia="仿宋_GB2312" w:cs="仿宋_GB2312"/>
                <w:b/>
                <w:bCs/>
                <w:color w:val="auto"/>
                <w:spacing w:val="4"/>
                <w:sz w:val="24"/>
                <w:szCs w:val="24"/>
              </w:rPr>
              <w:t>GPS</w:t>
            </w:r>
          </w:p>
        </w:tc>
        <w:tc>
          <w:tcPr>
            <w:tcW w:w="795" w:type="dxa"/>
            <w:vAlign w:val="center"/>
          </w:tcPr>
          <w:p>
            <w:pPr>
              <w:spacing w:before="249" w:line="228" w:lineRule="auto"/>
              <w:jc w:val="center"/>
              <w:rPr>
                <w:rFonts w:hint="eastAsia" w:ascii="仿宋_GB2312" w:hAnsi="仿宋_GB2312" w:eastAsia="仿宋_GB2312" w:cs="仿宋_GB2312"/>
                <w:b/>
                <w:bCs/>
                <w:color w:val="auto"/>
                <w:spacing w:val="4"/>
                <w:sz w:val="24"/>
                <w:szCs w:val="24"/>
              </w:rPr>
            </w:pPr>
            <w:r>
              <w:rPr>
                <w:rFonts w:hint="eastAsia" w:ascii="仿宋_GB2312" w:hAnsi="仿宋_GB2312" w:eastAsia="仿宋_GB2312" w:cs="仿宋_GB2312"/>
                <w:b/>
                <w:bCs/>
                <w:color w:val="auto"/>
                <w:spacing w:val="4"/>
                <w:sz w:val="24"/>
                <w:szCs w:val="24"/>
              </w:rPr>
              <w:t>电台</w:t>
            </w:r>
          </w:p>
        </w:tc>
        <w:tc>
          <w:tcPr>
            <w:tcW w:w="1058" w:type="dxa"/>
            <w:vAlign w:val="center"/>
          </w:tcPr>
          <w:p>
            <w:pPr>
              <w:spacing w:before="249" w:line="228" w:lineRule="auto"/>
              <w:jc w:val="center"/>
              <w:rPr>
                <w:rFonts w:hint="eastAsia" w:ascii="仿宋_GB2312" w:hAnsi="仿宋_GB2312" w:eastAsia="仿宋_GB2312" w:cs="仿宋_GB2312"/>
                <w:b/>
                <w:bCs/>
                <w:color w:val="auto"/>
                <w:spacing w:val="4"/>
                <w:sz w:val="24"/>
                <w:szCs w:val="24"/>
              </w:rPr>
            </w:pPr>
            <w:r>
              <w:rPr>
                <w:rFonts w:hint="eastAsia" w:ascii="仿宋_GB2312" w:hAnsi="仿宋_GB2312" w:eastAsia="仿宋_GB2312" w:cs="仿宋_GB2312"/>
                <w:b/>
                <w:bCs/>
                <w:color w:val="auto"/>
                <w:spacing w:val="4"/>
                <w:sz w:val="24"/>
                <w:szCs w:val="24"/>
              </w:rPr>
              <w:t>单兵装备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2343" w:type="dxa"/>
            <w:vMerge w:val="continue"/>
            <w:tcBorders>
              <w:left w:val="single" w:color="000000" w:sz="6" w:space="0"/>
              <w:right w:val="single" w:color="000000" w:sz="6" w:space="0"/>
            </w:tcBorders>
            <w:vAlign w:val="top"/>
          </w:tcPr>
          <w:p>
            <w:pPr>
              <w:bidi w:val="0"/>
              <w:rPr>
                <w:rFonts w:hint="eastAsia" w:ascii="仿宋_GB2312" w:hAnsi="仿宋_GB2312" w:eastAsia="仿宋_GB2312" w:cs="仿宋_GB2312"/>
                <w:color w:val="auto"/>
                <w:sz w:val="24"/>
                <w:szCs w:val="24"/>
              </w:rPr>
            </w:pPr>
          </w:p>
        </w:tc>
        <w:tc>
          <w:tcPr>
            <w:tcW w:w="1342" w:type="dxa"/>
            <w:tcBorders>
              <w:left w:val="single" w:color="000000" w:sz="6" w:space="0"/>
            </w:tcBorders>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个</w:t>
            </w:r>
          </w:p>
        </w:tc>
        <w:tc>
          <w:tcPr>
            <w:tcW w:w="1415" w:type="dxa"/>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把</w:t>
            </w:r>
          </w:p>
        </w:tc>
        <w:tc>
          <w:tcPr>
            <w:tcW w:w="921" w:type="dxa"/>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个</w:t>
            </w:r>
          </w:p>
        </w:tc>
        <w:tc>
          <w:tcPr>
            <w:tcW w:w="879" w:type="dxa"/>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个</w:t>
            </w:r>
          </w:p>
        </w:tc>
        <w:tc>
          <w:tcPr>
            <w:tcW w:w="795" w:type="dxa"/>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套</w:t>
            </w:r>
          </w:p>
        </w:tc>
        <w:tc>
          <w:tcPr>
            <w:tcW w:w="1058" w:type="dxa"/>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2343" w:type="dxa"/>
            <w:tcBorders>
              <w:left w:val="single" w:color="000000" w:sz="6" w:space="0"/>
              <w:right w:val="single" w:color="000000" w:sz="6" w:space="0"/>
            </w:tcBorders>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古路板管理站</w:t>
            </w:r>
          </w:p>
        </w:tc>
        <w:tc>
          <w:tcPr>
            <w:tcW w:w="1342" w:type="dxa"/>
            <w:tcBorders>
              <w:left w:val="single" w:color="000000" w:sz="6" w:space="0"/>
            </w:tcBorders>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41</w:t>
            </w:r>
          </w:p>
        </w:tc>
        <w:tc>
          <w:tcPr>
            <w:tcW w:w="1415" w:type="dxa"/>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w:t>
            </w:r>
          </w:p>
        </w:tc>
        <w:tc>
          <w:tcPr>
            <w:tcW w:w="921" w:type="dxa"/>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879" w:type="dxa"/>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95" w:type="dxa"/>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1058" w:type="dxa"/>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bl>
    <w:p>
      <w:pPr>
        <w:rPr>
          <w:color w:val="auto"/>
        </w:rPr>
        <w:sectPr>
          <w:pgSz w:w="11906" w:h="16839"/>
          <w:pgMar w:top="1431" w:right="1626" w:bottom="0" w:left="1775" w:header="0" w:footer="964" w:gutter="0"/>
          <w:pgBorders>
            <w:top w:val="none" w:sz="0" w:space="0"/>
            <w:left w:val="none" w:sz="0" w:space="0"/>
            <w:bottom w:val="none" w:sz="0" w:space="0"/>
            <w:right w:val="none" w:sz="0" w:space="0"/>
          </w:pgBorders>
          <w:pgNumType w:fmt="decimal"/>
          <w:cols w:space="720" w:num="1"/>
        </w:sectPr>
      </w:pPr>
    </w:p>
    <w:p>
      <w:pPr>
        <w:spacing w:line="242" w:lineRule="auto"/>
        <w:rPr>
          <w:rFonts w:ascii="Arial"/>
          <w:color w:val="auto"/>
          <w:sz w:val="21"/>
        </w:rPr>
      </w:pPr>
    </w:p>
    <w:p>
      <w:pPr>
        <w:bidi w:val="0"/>
        <w:jc w:val="center"/>
        <w:rPr>
          <w:rFonts w:hint="eastAsia" w:ascii="黑体" w:hAnsi="黑体" w:eastAsia="黑体" w:cs="黑体"/>
          <w:color w:val="auto"/>
          <w:sz w:val="32"/>
          <w:szCs w:val="32"/>
        </w:rPr>
      </w:pPr>
      <w:r>
        <w:rPr>
          <w:rFonts w:hint="eastAsia" w:ascii="黑体" w:hAnsi="黑体" w:eastAsia="黑体" w:cs="黑体"/>
          <w:color w:val="auto"/>
          <w:sz w:val="32"/>
          <w:szCs w:val="32"/>
        </w:rPr>
        <w:t>保合少镇车辆清单</w:t>
      </w:r>
    </w:p>
    <w:p>
      <w:pPr>
        <w:spacing w:line="104" w:lineRule="exact"/>
        <w:rPr>
          <w:color w:val="auto"/>
        </w:rPr>
      </w:pPr>
    </w:p>
    <w:tbl>
      <w:tblPr>
        <w:tblStyle w:val="25"/>
        <w:tblW w:w="125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14"/>
        <w:gridCol w:w="794"/>
        <w:gridCol w:w="793"/>
        <w:gridCol w:w="944"/>
        <w:gridCol w:w="794"/>
        <w:gridCol w:w="793"/>
        <w:gridCol w:w="794"/>
        <w:gridCol w:w="794"/>
        <w:gridCol w:w="794"/>
        <w:gridCol w:w="793"/>
        <w:gridCol w:w="983"/>
        <w:gridCol w:w="782"/>
        <w:gridCol w:w="7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jc w:val="center"/>
        </w:trPr>
        <w:tc>
          <w:tcPr>
            <w:tcW w:w="2714" w:type="dxa"/>
            <w:vMerge w:val="restart"/>
            <w:tcBorders>
              <w:tl2br w:val="single" w:color="000000" w:sz="2" w:space="0"/>
            </w:tcBorders>
            <w:vAlign w:val="top"/>
          </w:tcPr>
          <w:p>
            <w:pPr>
              <w:spacing w:line="331" w:lineRule="auto"/>
              <w:rPr>
                <w:rFonts w:hint="eastAsia"/>
                <w:color w:val="auto"/>
              </w:rPr>
            </w:pPr>
          </w:p>
          <w:p>
            <w:pPr>
              <w:bidi w:val="0"/>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             车辆类别</w:t>
            </w:r>
          </w:p>
          <w:p>
            <w:pPr>
              <w:bidi w:val="0"/>
              <w:jc w:val="both"/>
              <w:rPr>
                <w:rFonts w:hint="default" w:ascii="仿宋_GB2312" w:hAnsi="仿宋_GB2312" w:eastAsia="仿宋_GB2312" w:cs="仿宋_GB2312"/>
                <w:b/>
                <w:bCs/>
                <w:color w:val="auto"/>
                <w:sz w:val="24"/>
                <w:szCs w:val="24"/>
                <w:lang w:val="en-US" w:eastAsia="zh-CN"/>
              </w:rPr>
            </w:pPr>
          </w:p>
          <w:p>
            <w:pPr>
              <w:bidi w:val="0"/>
              <w:jc w:val="both"/>
              <w:rPr>
                <w:rFonts w:hint="default"/>
                <w:color w:val="auto"/>
                <w:lang w:val="en-US" w:eastAsia="zh-CN"/>
              </w:rPr>
            </w:pPr>
            <w:r>
              <w:rPr>
                <w:rFonts w:hint="eastAsia" w:ascii="仿宋_GB2312" w:hAnsi="仿宋_GB2312" w:eastAsia="仿宋_GB2312" w:cs="仿宋_GB2312"/>
                <w:b/>
                <w:bCs/>
                <w:color w:val="auto"/>
                <w:sz w:val="24"/>
                <w:szCs w:val="24"/>
                <w:lang w:val="en-US" w:eastAsia="zh-CN"/>
              </w:rPr>
              <w:t>存放地点</w:t>
            </w:r>
          </w:p>
        </w:tc>
        <w:tc>
          <w:tcPr>
            <w:tcW w:w="794" w:type="dxa"/>
            <w:vAlign w:val="center"/>
          </w:tcPr>
          <w:p>
            <w:pPr>
              <w:bidi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指挥车</w:t>
            </w:r>
          </w:p>
        </w:tc>
        <w:tc>
          <w:tcPr>
            <w:tcW w:w="793" w:type="dxa"/>
            <w:vAlign w:val="center"/>
          </w:tcPr>
          <w:p>
            <w:pPr>
              <w:bidi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通信车</w:t>
            </w:r>
          </w:p>
        </w:tc>
        <w:tc>
          <w:tcPr>
            <w:tcW w:w="944" w:type="dxa"/>
            <w:vAlign w:val="center"/>
          </w:tcPr>
          <w:p>
            <w:pPr>
              <w:bidi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巡护、</w:t>
            </w:r>
          </w:p>
          <w:p>
            <w:pPr>
              <w:bidi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宣传车</w:t>
            </w:r>
          </w:p>
        </w:tc>
        <w:tc>
          <w:tcPr>
            <w:tcW w:w="794" w:type="dxa"/>
            <w:vAlign w:val="center"/>
          </w:tcPr>
          <w:p>
            <w:pPr>
              <w:bidi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运兵车</w:t>
            </w:r>
          </w:p>
        </w:tc>
        <w:tc>
          <w:tcPr>
            <w:tcW w:w="793" w:type="dxa"/>
            <w:vAlign w:val="center"/>
          </w:tcPr>
          <w:p>
            <w:pPr>
              <w:bidi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水罐车</w:t>
            </w:r>
          </w:p>
        </w:tc>
        <w:tc>
          <w:tcPr>
            <w:tcW w:w="794" w:type="dxa"/>
            <w:vAlign w:val="center"/>
          </w:tcPr>
          <w:p>
            <w:pPr>
              <w:bidi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运载车</w:t>
            </w:r>
          </w:p>
        </w:tc>
        <w:tc>
          <w:tcPr>
            <w:tcW w:w="794" w:type="dxa"/>
            <w:vAlign w:val="center"/>
          </w:tcPr>
          <w:p>
            <w:pPr>
              <w:bidi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挖掘机</w:t>
            </w:r>
          </w:p>
        </w:tc>
        <w:tc>
          <w:tcPr>
            <w:tcW w:w="794" w:type="dxa"/>
            <w:vAlign w:val="center"/>
          </w:tcPr>
          <w:p>
            <w:pPr>
              <w:bidi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拖拉机</w:t>
            </w:r>
          </w:p>
        </w:tc>
        <w:tc>
          <w:tcPr>
            <w:tcW w:w="793" w:type="dxa"/>
            <w:vAlign w:val="center"/>
          </w:tcPr>
          <w:p>
            <w:pPr>
              <w:bidi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推土机</w:t>
            </w:r>
          </w:p>
        </w:tc>
        <w:tc>
          <w:tcPr>
            <w:tcW w:w="983" w:type="dxa"/>
            <w:vAlign w:val="center"/>
          </w:tcPr>
          <w:p>
            <w:pPr>
              <w:bidi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铧犁</w:t>
            </w:r>
          </w:p>
          <w:p>
            <w:pPr>
              <w:bidi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等设备</w:t>
            </w:r>
          </w:p>
        </w:tc>
        <w:tc>
          <w:tcPr>
            <w:tcW w:w="782" w:type="dxa"/>
            <w:vAlign w:val="center"/>
          </w:tcPr>
          <w:p>
            <w:pPr>
              <w:bidi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四轮</w:t>
            </w:r>
          </w:p>
          <w:p>
            <w:pPr>
              <w:bidi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摩托</w:t>
            </w:r>
          </w:p>
        </w:tc>
        <w:tc>
          <w:tcPr>
            <w:tcW w:w="746" w:type="dxa"/>
            <w:vAlign w:val="center"/>
          </w:tcPr>
          <w:p>
            <w:pPr>
              <w:bidi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摩托车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jc w:val="center"/>
        </w:trPr>
        <w:tc>
          <w:tcPr>
            <w:tcW w:w="2714" w:type="dxa"/>
            <w:vMerge w:val="continue"/>
            <w:vAlign w:val="top"/>
          </w:tcPr>
          <w:p>
            <w:pPr>
              <w:bidi w:val="0"/>
              <w:jc w:val="center"/>
              <w:rPr>
                <w:rFonts w:hint="eastAsia" w:ascii="仿宋_GB2312" w:hAnsi="仿宋_GB2312" w:eastAsia="仿宋_GB2312" w:cs="仿宋_GB2312"/>
                <w:b/>
                <w:bCs/>
                <w:color w:val="auto"/>
                <w:sz w:val="24"/>
                <w:szCs w:val="24"/>
              </w:rPr>
            </w:pPr>
          </w:p>
        </w:tc>
        <w:tc>
          <w:tcPr>
            <w:tcW w:w="794" w:type="dxa"/>
            <w:vAlign w:val="top"/>
          </w:tcPr>
          <w:p>
            <w:pPr>
              <w:spacing w:before="93" w:line="227" w:lineRule="auto"/>
              <w:ind w:left="2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辆</w:t>
            </w:r>
          </w:p>
        </w:tc>
        <w:tc>
          <w:tcPr>
            <w:tcW w:w="793" w:type="dxa"/>
            <w:vAlign w:val="top"/>
          </w:tcPr>
          <w:p>
            <w:pPr>
              <w:spacing w:before="93" w:line="227" w:lineRule="auto"/>
              <w:ind w:left="28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辆</w:t>
            </w:r>
          </w:p>
        </w:tc>
        <w:tc>
          <w:tcPr>
            <w:tcW w:w="944" w:type="dxa"/>
            <w:vAlign w:val="top"/>
          </w:tcPr>
          <w:p>
            <w:pPr>
              <w:spacing w:before="93" w:line="227" w:lineRule="auto"/>
              <w:ind w:left="35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辆</w:t>
            </w:r>
          </w:p>
        </w:tc>
        <w:tc>
          <w:tcPr>
            <w:tcW w:w="794" w:type="dxa"/>
            <w:vAlign w:val="top"/>
          </w:tcPr>
          <w:p>
            <w:pPr>
              <w:spacing w:before="93" w:line="227" w:lineRule="auto"/>
              <w:ind w:left="28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辆</w:t>
            </w:r>
          </w:p>
        </w:tc>
        <w:tc>
          <w:tcPr>
            <w:tcW w:w="793" w:type="dxa"/>
            <w:vAlign w:val="top"/>
          </w:tcPr>
          <w:p>
            <w:pPr>
              <w:spacing w:before="93" w:line="227" w:lineRule="auto"/>
              <w:ind w:left="28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辆</w:t>
            </w:r>
          </w:p>
        </w:tc>
        <w:tc>
          <w:tcPr>
            <w:tcW w:w="794" w:type="dxa"/>
            <w:vAlign w:val="top"/>
          </w:tcPr>
          <w:p>
            <w:pPr>
              <w:spacing w:before="93" w:line="227" w:lineRule="auto"/>
              <w:ind w:left="28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辆</w:t>
            </w:r>
          </w:p>
        </w:tc>
        <w:tc>
          <w:tcPr>
            <w:tcW w:w="794" w:type="dxa"/>
            <w:vAlign w:val="top"/>
          </w:tcPr>
          <w:p>
            <w:pPr>
              <w:spacing w:before="92" w:line="230" w:lineRule="auto"/>
              <w:ind w:left="30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台</w:t>
            </w:r>
          </w:p>
        </w:tc>
        <w:tc>
          <w:tcPr>
            <w:tcW w:w="794" w:type="dxa"/>
            <w:vAlign w:val="top"/>
          </w:tcPr>
          <w:p>
            <w:pPr>
              <w:spacing w:before="92" w:line="230" w:lineRule="auto"/>
              <w:ind w:left="30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台</w:t>
            </w:r>
          </w:p>
        </w:tc>
        <w:tc>
          <w:tcPr>
            <w:tcW w:w="793" w:type="dxa"/>
            <w:vAlign w:val="top"/>
          </w:tcPr>
          <w:p>
            <w:pPr>
              <w:spacing w:before="92" w:line="230" w:lineRule="auto"/>
              <w:ind w:left="30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台</w:t>
            </w:r>
          </w:p>
        </w:tc>
        <w:tc>
          <w:tcPr>
            <w:tcW w:w="983" w:type="dxa"/>
            <w:vAlign w:val="top"/>
          </w:tcPr>
          <w:p>
            <w:pPr>
              <w:spacing w:before="92" w:line="228" w:lineRule="auto"/>
              <w:ind w:left="287"/>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套</w:t>
            </w:r>
          </w:p>
        </w:tc>
        <w:tc>
          <w:tcPr>
            <w:tcW w:w="782" w:type="dxa"/>
            <w:vAlign w:val="top"/>
          </w:tcPr>
          <w:p>
            <w:pPr>
              <w:spacing w:before="93" w:line="227" w:lineRule="auto"/>
              <w:ind w:left="28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辆</w:t>
            </w:r>
          </w:p>
        </w:tc>
        <w:tc>
          <w:tcPr>
            <w:tcW w:w="746" w:type="dxa"/>
            <w:vAlign w:val="top"/>
          </w:tcPr>
          <w:p>
            <w:pPr>
              <w:spacing w:before="93" w:line="227" w:lineRule="auto"/>
              <w:ind w:left="28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2714" w:type="dxa"/>
            <w:vAlign w:val="center"/>
          </w:tcPr>
          <w:p>
            <w:pPr>
              <w:bidi w:val="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保合少镇人民政府</w:t>
            </w:r>
          </w:p>
        </w:tc>
        <w:tc>
          <w:tcPr>
            <w:tcW w:w="794" w:type="dxa"/>
            <w:vAlign w:val="top"/>
          </w:tcPr>
          <w:p>
            <w:pPr>
              <w:spacing w:before="87" w:line="189" w:lineRule="auto"/>
              <w:ind w:left="347"/>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793" w:type="dxa"/>
            <w:vAlign w:val="top"/>
          </w:tcPr>
          <w:p>
            <w:pPr>
              <w:spacing w:before="85" w:line="192" w:lineRule="auto"/>
              <w:ind w:left="34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44" w:type="dxa"/>
            <w:vAlign w:val="top"/>
          </w:tcPr>
          <w:p>
            <w:pPr>
              <w:spacing w:before="85" w:line="192" w:lineRule="auto"/>
              <w:ind w:left="435"/>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94" w:type="dxa"/>
            <w:vAlign w:val="top"/>
          </w:tcPr>
          <w:p>
            <w:pPr>
              <w:spacing w:before="85" w:line="192" w:lineRule="auto"/>
              <w:ind w:left="347"/>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93" w:type="dxa"/>
            <w:vAlign w:val="top"/>
          </w:tcPr>
          <w:p>
            <w:pPr>
              <w:spacing w:before="84" w:line="191" w:lineRule="auto"/>
              <w:ind w:left="30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1</w:t>
            </w:r>
            <w:r>
              <w:rPr>
                <w:rFonts w:hint="eastAsia" w:ascii="仿宋_GB2312" w:hAnsi="仿宋_GB2312" w:eastAsia="仿宋_GB2312" w:cs="仿宋_GB2312"/>
                <w:color w:val="auto"/>
                <w:spacing w:val="-8"/>
                <w:sz w:val="24"/>
                <w:szCs w:val="24"/>
              </w:rPr>
              <w:t>0</w:t>
            </w:r>
          </w:p>
        </w:tc>
        <w:tc>
          <w:tcPr>
            <w:tcW w:w="794" w:type="dxa"/>
            <w:vAlign w:val="top"/>
          </w:tcPr>
          <w:p>
            <w:pPr>
              <w:spacing w:before="87" w:line="189" w:lineRule="auto"/>
              <w:ind w:left="34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794" w:type="dxa"/>
            <w:vAlign w:val="top"/>
          </w:tcPr>
          <w:p>
            <w:pPr>
              <w:spacing w:before="85" w:line="190" w:lineRule="auto"/>
              <w:ind w:left="34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94" w:type="dxa"/>
            <w:vAlign w:val="top"/>
          </w:tcPr>
          <w:p>
            <w:pPr>
              <w:spacing w:before="85" w:line="190" w:lineRule="auto"/>
              <w:ind w:left="345"/>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793" w:type="dxa"/>
            <w:vAlign w:val="top"/>
          </w:tcPr>
          <w:p>
            <w:pPr>
              <w:spacing w:before="85" w:line="190" w:lineRule="auto"/>
              <w:ind w:left="3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83" w:type="dxa"/>
            <w:vAlign w:val="top"/>
          </w:tcPr>
          <w:p>
            <w:pPr>
              <w:spacing w:before="85" w:line="190" w:lineRule="auto"/>
              <w:ind w:left="348"/>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782" w:type="dxa"/>
            <w:vAlign w:val="top"/>
          </w:tcPr>
          <w:p>
            <w:pPr>
              <w:rPr>
                <w:rFonts w:hint="eastAsia" w:ascii="仿宋_GB2312" w:hAnsi="仿宋_GB2312" w:eastAsia="仿宋_GB2312" w:cs="仿宋_GB2312"/>
                <w:color w:val="auto"/>
                <w:sz w:val="24"/>
                <w:szCs w:val="24"/>
              </w:rPr>
            </w:pPr>
          </w:p>
        </w:tc>
        <w:tc>
          <w:tcPr>
            <w:tcW w:w="746" w:type="dxa"/>
            <w:vAlign w:val="top"/>
          </w:tcPr>
          <w:p>
            <w:pPr>
              <w:spacing w:before="85" w:line="192" w:lineRule="auto"/>
              <w:ind w:left="348"/>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2714" w:type="dxa"/>
            <w:vAlign w:val="center"/>
          </w:tcPr>
          <w:p>
            <w:pPr>
              <w:bidi w:val="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水磨村委会</w:t>
            </w:r>
          </w:p>
        </w:tc>
        <w:tc>
          <w:tcPr>
            <w:tcW w:w="794" w:type="dxa"/>
            <w:vAlign w:val="top"/>
          </w:tcPr>
          <w:p>
            <w:pPr>
              <w:spacing w:before="86" w:line="192" w:lineRule="auto"/>
              <w:ind w:left="35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93" w:type="dxa"/>
            <w:vAlign w:val="top"/>
          </w:tcPr>
          <w:p>
            <w:pPr>
              <w:rPr>
                <w:rFonts w:hint="eastAsia" w:ascii="仿宋_GB2312" w:hAnsi="仿宋_GB2312" w:eastAsia="仿宋_GB2312" w:cs="仿宋_GB2312"/>
                <w:color w:val="auto"/>
                <w:sz w:val="24"/>
                <w:szCs w:val="24"/>
              </w:rPr>
            </w:pPr>
          </w:p>
        </w:tc>
        <w:tc>
          <w:tcPr>
            <w:tcW w:w="944" w:type="dxa"/>
            <w:vAlign w:val="top"/>
          </w:tcPr>
          <w:p>
            <w:pPr>
              <w:spacing w:before="86" w:line="192" w:lineRule="auto"/>
              <w:ind w:left="435"/>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94" w:type="dxa"/>
            <w:vAlign w:val="top"/>
          </w:tcPr>
          <w:p>
            <w:pPr>
              <w:rPr>
                <w:rFonts w:hint="eastAsia" w:ascii="仿宋_GB2312" w:hAnsi="仿宋_GB2312" w:eastAsia="仿宋_GB2312" w:cs="仿宋_GB2312"/>
                <w:color w:val="auto"/>
                <w:sz w:val="24"/>
                <w:szCs w:val="24"/>
              </w:rPr>
            </w:pPr>
          </w:p>
        </w:tc>
        <w:tc>
          <w:tcPr>
            <w:tcW w:w="793" w:type="dxa"/>
            <w:vAlign w:val="top"/>
          </w:tcPr>
          <w:p>
            <w:pPr>
              <w:spacing w:before="86" w:line="192" w:lineRule="auto"/>
              <w:ind w:left="36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94" w:type="dxa"/>
            <w:vAlign w:val="top"/>
          </w:tcPr>
          <w:p>
            <w:pPr>
              <w:rPr>
                <w:rFonts w:hint="eastAsia" w:ascii="仿宋_GB2312" w:hAnsi="仿宋_GB2312" w:eastAsia="仿宋_GB2312" w:cs="仿宋_GB2312"/>
                <w:color w:val="auto"/>
                <w:sz w:val="24"/>
                <w:szCs w:val="24"/>
              </w:rPr>
            </w:pPr>
          </w:p>
        </w:tc>
        <w:tc>
          <w:tcPr>
            <w:tcW w:w="794" w:type="dxa"/>
            <w:vAlign w:val="top"/>
          </w:tcPr>
          <w:p>
            <w:pPr>
              <w:rPr>
                <w:rFonts w:hint="eastAsia" w:ascii="仿宋_GB2312" w:hAnsi="仿宋_GB2312" w:eastAsia="仿宋_GB2312" w:cs="仿宋_GB2312"/>
                <w:color w:val="auto"/>
                <w:sz w:val="24"/>
                <w:szCs w:val="24"/>
              </w:rPr>
            </w:pPr>
          </w:p>
        </w:tc>
        <w:tc>
          <w:tcPr>
            <w:tcW w:w="794" w:type="dxa"/>
            <w:vAlign w:val="top"/>
          </w:tcPr>
          <w:p>
            <w:pPr>
              <w:spacing w:before="86" w:line="192" w:lineRule="auto"/>
              <w:ind w:left="36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93" w:type="dxa"/>
            <w:vAlign w:val="top"/>
          </w:tcPr>
          <w:p>
            <w:pPr>
              <w:spacing w:before="86" w:line="192" w:lineRule="auto"/>
              <w:ind w:left="36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83" w:type="dxa"/>
            <w:vAlign w:val="top"/>
          </w:tcPr>
          <w:p>
            <w:pPr>
              <w:spacing w:before="86" w:line="192" w:lineRule="auto"/>
              <w:ind w:left="36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82" w:type="dxa"/>
            <w:vAlign w:val="top"/>
          </w:tcPr>
          <w:p>
            <w:pPr>
              <w:rPr>
                <w:rFonts w:hint="eastAsia" w:ascii="仿宋_GB2312" w:hAnsi="仿宋_GB2312" w:eastAsia="仿宋_GB2312" w:cs="仿宋_GB2312"/>
                <w:color w:val="auto"/>
                <w:sz w:val="24"/>
                <w:szCs w:val="24"/>
              </w:rPr>
            </w:pPr>
          </w:p>
        </w:tc>
        <w:tc>
          <w:tcPr>
            <w:tcW w:w="746" w:type="dxa"/>
            <w:vAlign w:val="top"/>
          </w:tcPr>
          <w:p>
            <w:pPr>
              <w:rPr>
                <w:rFonts w:hint="eastAsia"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jc w:val="center"/>
        </w:trPr>
        <w:tc>
          <w:tcPr>
            <w:tcW w:w="2714" w:type="dxa"/>
            <w:vAlign w:val="center"/>
          </w:tcPr>
          <w:p>
            <w:pPr>
              <w:bidi w:val="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古路板村委会</w:t>
            </w:r>
          </w:p>
        </w:tc>
        <w:tc>
          <w:tcPr>
            <w:tcW w:w="794" w:type="dxa"/>
            <w:vAlign w:val="top"/>
          </w:tcPr>
          <w:p>
            <w:pPr>
              <w:spacing w:before="84" w:line="192" w:lineRule="auto"/>
              <w:ind w:left="35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93" w:type="dxa"/>
            <w:vAlign w:val="top"/>
          </w:tcPr>
          <w:p>
            <w:pPr>
              <w:rPr>
                <w:rFonts w:hint="eastAsia" w:ascii="仿宋_GB2312" w:hAnsi="仿宋_GB2312" w:eastAsia="仿宋_GB2312" w:cs="仿宋_GB2312"/>
                <w:color w:val="auto"/>
                <w:sz w:val="24"/>
                <w:szCs w:val="24"/>
              </w:rPr>
            </w:pPr>
          </w:p>
        </w:tc>
        <w:tc>
          <w:tcPr>
            <w:tcW w:w="944" w:type="dxa"/>
            <w:vAlign w:val="top"/>
          </w:tcPr>
          <w:p>
            <w:pPr>
              <w:rPr>
                <w:rFonts w:hint="eastAsia" w:ascii="仿宋_GB2312" w:hAnsi="仿宋_GB2312" w:eastAsia="仿宋_GB2312" w:cs="仿宋_GB2312"/>
                <w:color w:val="auto"/>
                <w:sz w:val="24"/>
                <w:szCs w:val="24"/>
              </w:rPr>
            </w:pPr>
          </w:p>
        </w:tc>
        <w:tc>
          <w:tcPr>
            <w:tcW w:w="794" w:type="dxa"/>
            <w:vAlign w:val="top"/>
          </w:tcPr>
          <w:p>
            <w:pPr>
              <w:rPr>
                <w:rFonts w:hint="eastAsia" w:ascii="仿宋_GB2312" w:hAnsi="仿宋_GB2312" w:eastAsia="仿宋_GB2312" w:cs="仿宋_GB2312"/>
                <w:color w:val="auto"/>
                <w:sz w:val="24"/>
                <w:szCs w:val="24"/>
              </w:rPr>
            </w:pPr>
          </w:p>
        </w:tc>
        <w:tc>
          <w:tcPr>
            <w:tcW w:w="793" w:type="dxa"/>
            <w:vAlign w:val="top"/>
          </w:tcPr>
          <w:p>
            <w:pPr>
              <w:rPr>
                <w:rFonts w:hint="eastAsia" w:ascii="仿宋_GB2312" w:hAnsi="仿宋_GB2312" w:eastAsia="仿宋_GB2312" w:cs="仿宋_GB2312"/>
                <w:color w:val="auto"/>
                <w:sz w:val="24"/>
                <w:szCs w:val="24"/>
              </w:rPr>
            </w:pPr>
          </w:p>
        </w:tc>
        <w:tc>
          <w:tcPr>
            <w:tcW w:w="794" w:type="dxa"/>
            <w:vAlign w:val="top"/>
          </w:tcPr>
          <w:p>
            <w:pPr>
              <w:rPr>
                <w:rFonts w:hint="eastAsia" w:ascii="仿宋_GB2312" w:hAnsi="仿宋_GB2312" w:eastAsia="仿宋_GB2312" w:cs="仿宋_GB2312"/>
                <w:color w:val="auto"/>
                <w:sz w:val="24"/>
                <w:szCs w:val="24"/>
              </w:rPr>
            </w:pPr>
          </w:p>
        </w:tc>
        <w:tc>
          <w:tcPr>
            <w:tcW w:w="794" w:type="dxa"/>
            <w:vAlign w:val="top"/>
          </w:tcPr>
          <w:p>
            <w:pPr>
              <w:rPr>
                <w:rFonts w:hint="eastAsia" w:ascii="仿宋_GB2312" w:hAnsi="仿宋_GB2312" w:eastAsia="仿宋_GB2312" w:cs="仿宋_GB2312"/>
                <w:color w:val="auto"/>
                <w:sz w:val="24"/>
                <w:szCs w:val="24"/>
              </w:rPr>
            </w:pPr>
          </w:p>
        </w:tc>
        <w:tc>
          <w:tcPr>
            <w:tcW w:w="794" w:type="dxa"/>
            <w:vAlign w:val="top"/>
          </w:tcPr>
          <w:p>
            <w:pPr>
              <w:spacing w:before="84" w:line="192" w:lineRule="auto"/>
              <w:ind w:left="36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93" w:type="dxa"/>
            <w:vAlign w:val="top"/>
          </w:tcPr>
          <w:p>
            <w:pPr>
              <w:rPr>
                <w:rFonts w:hint="eastAsia" w:ascii="仿宋_GB2312" w:hAnsi="仿宋_GB2312" w:eastAsia="仿宋_GB2312" w:cs="仿宋_GB2312"/>
                <w:color w:val="auto"/>
                <w:sz w:val="24"/>
                <w:szCs w:val="24"/>
              </w:rPr>
            </w:pPr>
          </w:p>
        </w:tc>
        <w:tc>
          <w:tcPr>
            <w:tcW w:w="983" w:type="dxa"/>
            <w:vAlign w:val="top"/>
          </w:tcPr>
          <w:p>
            <w:pPr>
              <w:spacing w:before="84" w:line="192" w:lineRule="auto"/>
              <w:ind w:left="34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82" w:type="dxa"/>
            <w:vAlign w:val="top"/>
          </w:tcPr>
          <w:p>
            <w:pPr>
              <w:rPr>
                <w:rFonts w:hint="eastAsia" w:ascii="仿宋_GB2312" w:hAnsi="仿宋_GB2312" w:eastAsia="仿宋_GB2312" w:cs="仿宋_GB2312"/>
                <w:color w:val="auto"/>
                <w:sz w:val="24"/>
                <w:szCs w:val="24"/>
              </w:rPr>
            </w:pPr>
          </w:p>
        </w:tc>
        <w:tc>
          <w:tcPr>
            <w:tcW w:w="746" w:type="dxa"/>
            <w:vAlign w:val="top"/>
          </w:tcPr>
          <w:p>
            <w:pPr>
              <w:rPr>
                <w:rFonts w:hint="eastAsia"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2714" w:type="dxa"/>
            <w:vAlign w:val="center"/>
          </w:tcPr>
          <w:p>
            <w:pPr>
              <w:bidi w:val="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野马图村委会</w:t>
            </w:r>
          </w:p>
        </w:tc>
        <w:tc>
          <w:tcPr>
            <w:tcW w:w="794" w:type="dxa"/>
            <w:vAlign w:val="top"/>
          </w:tcPr>
          <w:p>
            <w:pPr>
              <w:spacing w:before="86" w:line="192" w:lineRule="auto"/>
              <w:ind w:left="35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93" w:type="dxa"/>
            <w:vAlign w:val="top"/>
          </w:tcPr>
          <w:p>
            <w:pPr>
              <w:spacing w:before="86" w:line="192" w:lineRule="auto"/>
              <w:ind w:left="35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44" w:type="dxa"/>
            <w:vAlign w:val="top"/>
          </w:tcPr>
          <w:p>
            <w:pPr>
              <w:rPr>
                <w:rFonts w:hint="eastAsia" w:ascii="仿宋_GB2312" w:hAnsi="仿宋_GB2312" w:eastAsia="仿宋_GB2312" w:cs="仿宋_GB2312"/>
                <w:color w:val="auto"/>
                <w:sz w:val="24"/>
                <w:szCs w:val="24"/>
              </w:rPr>
            </w:pPr>
          </w:p>
        </w:tc>
        <w:tc>
          <w:tcPr>
            <w:tcW w:w="794" w:type="dxa"/>
            <w:vAlign w:val="top"/>
          </w:tcPr>
          <w:p>
            <w:pPr>
              <w:rPr>
                <w:rFonts w:hint="eastAsia" w:ascii="仿宋_GB2312" w:hAnsi="仿宋_GB2312" w:eastAsia="仿宋_GB2312" w:cs="仿宋_GB2312"/>
                <w:color w:val="auto"/>
                <w:sz w:val="24"/>
                <w:szCs w:val="24"/>
              </w:rPr>
            </w:pPr>
          </w:p>
        </w:tc>
        <w:tc>
          <w:tcPr>
            <w:tcW w:w="793" w:type="dxa"/>
            <w:vAlign w:val="top"/>
          </w:tcPr>
          <w:p>
            <w:pPr>
              <w:spacing w:before="86" w:line="192" w:lineRule="auto"/>
              <w:ind w:left="348"/>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94" w:type="dxa"/>
            <w:vAlign w:val="top"/>
          </w:tcPr>
          <w:p>
            <w:pPr>
              <w:rPr>
                <w:rFonts w:hint="eastAsia" w:ascii="仿宋_GB2312" w:hAnsi="仿宋_GB2312" w:eastAsia="仿宋_GB2312" w:cs="仿宋_GB2312"/>
                <w:color w:val="auto"/>
                <w:sz w:val="24"/>
                <w:szCs w:val="24"/>
              </w:rPr>
            </w:pPr>
          </w:p>
        </w:tc>
        <w:tc>
          <w:tcPr>
            <w:tcW w:w="794" w:type="dxa"/>
            <w:vAlign w:val="top"/>
          </w:tcPr>
          <w:p>
            <w:pPr>
              <w:spacing w:before="86" w:line="192" w:lineRule="auto"/>
              <w:ind w:left="36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94" w:type="dxa"/>
            <w:vAlign w:val="top"/>
          </w:tcPr>
          <w:p>
            <w:pPr>
              <w:rPr>
                <w:rFonts w:hint="eastAsia" w:ascii="仿宋_GB2312" w:hAnsi="仿宋_GB2312" w:eastAsia="仿宋_GB2312" w:cs="仿宋_GB2312"/>
                <w:color w:val="auto"/>
                <w:sz w:val="24"/>
                <w:szCs w:val="24"/>
              </w:rPr>
            </w:pPr>
          </w:p>
        </w:tc>
        <w:tc>
          <w:tcPr>
            <w:tcW w:w="793" w:type="dxa"/>
            <w:vAlign w:val="top"/>
          </w:tcPr>
          <w:p>
            <w:pPr>
              <w:rPr>
                <w:rFonts w:hint="eastAsia" w:ascii="仿宋_GB2312" w:hAnsi="仿宋_GB2312" w:eastAsia="仿宋_GB2312" w:cs="仿宋_GB2312"/>
                <w:color w:val="auto"/>
                <w:sz w:val="24"/>
                <w:szCs w:val="24"/>
              </w:rPr>
            </w:pPr>
          </w:p>
        </w:tc>
        <w:tc>
          <w:tcPr>
            <w:tcW w:w="983" w:type="dxa"/>
            <w:vAlign w:val="top"/>
          </w:tcPr>
          <w:p>
            <w:pPr>
              <w:rPr>
                <w:rFonts w:hint="eastAsia" w:ascii="仿宋_GB2312" w:hAnsi="仿宋_GB2312" w:eastAsia="仿宋_GB2312" w:cs="仿宋_GB2312"/>
                <w:color w:val="auto"/>
                <w:sz w:val="24"/>
                <w:szCs w:val="24"/>
              </w:rPr>
            </w:pPr>
          </w:p>
        </w:tc>
        <w:tc>
          <w:tcPr>
            <w:tcW w:w="782" w:type="dxa"/>
            <w:vAlign w:val="top"/>
          </w:tcPr>
          <w:p>
            <w:pPr>
              <w:rPr>
                <w:rFonts w:hint="eastAsia" w:ascii="仿宋_GB2312" w:hAnsi="仿宋_GB2312" w:eastAsia="仿宋_GB2312" w:cs="仿宋_GB2312"/>
                <w:color w:val="auto"/>
                <w:sz w:val="24"/>
                <w:szCs w:val="24"/>
              </w:rPr>
            </w:pPr>
          </w:p>
        </w:tc>
        <w:tc>
          <w:tcPr>
            <w:tcW w:w="746" w:type="dxa"/>
            <w:vAlign w:val="top"/>
          </w:tcPr>
          <w:p>
            <w:pPr>
              <w:rPr>
                <w:rFonts w:hint="eastAsia"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jc w:val="center"/>
        </w:trPr>
        <w:tc>
          <w:tcPr>
            <w:tcW w:w="2714" w:type="dxa"/>
            <w:vAlign w:val="center"/>
          </w:tcPr>
          <w:p>
            <w:pPr>
              <w:bidi w:val="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奎素村委会</w:t>
            </w:r>
          </w:p>
        </w:tc>
        <w:tc>
          <w:tcPr>
            <w:tcW w:w="794" w:type="dxa"/>
            <w:vAlign w:val="top"/>
          </w:tcPr>
          <w:p>
            <w:pPr>
              <w:spacing w:before="88" w:line="192" w:lineRule="auto"/>
              <w:ind w:left="35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93" w:type="dxa"/>
            <w:vAlign w:val="top"/>
          </w:tcPr>
          <w:p>
            <w:pPr>
              <w:spacing w:before="88" w:line="192" w:lineRule="auto"/>
              <w:ind w:left="35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44" w:type="dxa"/>
            <w:vAlign w:val="top"/>
          </w:tcPr>
          <w:p>
            <w:pPr>
              <w:rPr>
                <w:rFonts w:hint="eastAsia" w:ascii="仿宋_GB2312" w:hAnsi="仿宋_GB2312" w:eastAsia="仿宋_GB2312" w:cs="仿宋_GB2312"/>
                <w:color w:val="auto"/>
                <w:sz w:val="24"/>
                <w:szCs w:val="24"/>
              </w:rPr>
            </w:pPr>
          </w:p>
        </w:tc>
        <w:tc>
          <w:tcPr>
            <w:tcW w:w="794" w:type="dxa"/>
            <w:vAlign w:val="top"/>
          </w:tcPr>
          <w:p>
            <w:pPr>
              <w:rPr>
                <w:rFonts w:hint="eastAsia" w:ascii="仿宋_GB2312" w:hAnsi="仿宋_GB2312" w:eastAsia="仿宋_GB2312" w:cs="仿宋_GB2312"/>
                <w:color w:val="auto"/>
                <w:sz w:val="24"/>
                <w:szCs w:val="24"/>
              </w:rPr>
            </w:pPr>
          </w:p>
        </w:tc>
        <w:tc>
          <w:tcPr>
            <w:tcW w:w="793" w:type="dxa"/>
            <w:vAlign w:val="top"/>
          </w:tcPr>
          <w:p>
            <w:pPr>
              <w:rPr>
                <w:rFonts w:hint="eastAsia" w:ascii="仿宋_GB2312" w:hAnsi="仿宋_GB2312" w:eastAsia="仿宋_GB2312" w:cs="仿宋_GB2312"/>
                <w:color w:val="auto"/>
                <w:sz w:val="24"/>
                <w:szCs w:val="24"/>
              </w:rPr>
            </w:pPr>
          </w:p>
        </w:tc>
        <w:tc>
          <w:tcPr>
            <w:tcW w:w="794" w:type="dxa"/>
            <w:vAlign w:val="top"/>
          </w:tcPr>
          <w:p>
            <w:pPr>
              <w:rPr>
                <w:rFonts w:hint="eastAsia" w:ascii="仿宋_GB2312" w:hAnsi="仿宋_GB2312" w:eastAsia="仿宋_GB2312" w:cs="仿宋_GB2312"/>
                <w:color w:val="auto"/>
                <w:sz w:val="24"/>
                <w:szCs w:val="24"/>
              </w:rPr>
            </w:pPr>
          </w:p>
        </w:tc>
        <w:tc>
          <w:tcPr>
            <w:tcW w:w="794" w:type="dxa"/>
            <w:vAlign w:val="top"/>
          </w:tcPr>
          <w:p>
            <w:pPr>
              <w:spacing w:before="88" w:line="192" w:lineRule="auto"/>
              <w:ind w:left="36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94" w:type="dxa"/>
            <w:vAlign w:val="top"/>
          </w:tcPr>
          <w:p>
            <w:pPr>
              <w:rPr>
                <w:rFonts w:hint="eastAsia" w:ascii="仿宋_GB2312" w:hAnsi="仿宋_GB2312" w:eastAsia="仿宋_GB2312" w:cs="仿宋_GB2312"/>
                <w:color w:val="auto"/>
                <w:sz w:val="24"/>
                <w:szCs w:val="24"/>
              </w:rPr>
            </w:pPr>
          </w:p>
        </w:tc>
        <w:tc>
          <w:tcPr>
            <w:tcW w:w="793" w:type="dxa"/>
            <w:vAlign w:val="top"/>
          </w:tcPr>
          <w:p>
            <w:pPr>
              <w:spacing w:before="88" w:line="192" w:lineRule="auto"/>
              <w:ind w:left="36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83" w:type="dxa"/>
            <w:vAlign w:val="top"/>
          </w:tcPr>
          <w:p>
            <w:pPr>
              <w:rPr>
                <w:rFonts w:hint="eastAsia" w:ascii="仿宋_GB2312" w:hAnsi="仿宋_GB2312" w:eastAsia="仿宋_GB2312" w:cs="仿宋_GB2312"/>
                <w:color w:val="auto"/>
                <w:sz w:val="24"/>
                <w:szCs w:val="24"/>
              </w:rPr>
            </w:pPr>
          </w:p>
        </w:tc>
        <w:tc>
          <w:tcPr>
            <w:tcW w:w="782" w:type="dxa"/>
            <w:vAlign w:val="top"/>
          </w:tcPr>
          <w:p>
            <w:pPr>
              <w:rPr>
                <w:rFonts w:hint="eastAsia" w:ascii="仿宋_GB2312" w:hAnsi="仿宋_GB2312" w:eastAsia="仿宋_GB2312" w:cs="仿宋_GB2312"/>
                <w:color w:val="auto"/>
                <w:sz w:val="24"/>
                <w:szCs w:val="24"/>
              </w:rPr>
            </w:pPr>
          </w:p>
        </w:tc>
        <w:tc>
          <w:tcPr>
            <w:tcW w:w="746" w:type="dxa"/>
            <w:vAlign w:val="top"/>
          </w:tcPr>
          <w:p>
            <w:pPr>
              <w:rPr>
                <w:rFonts w:hint="eastAsia"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2714" w:type="dxa"/>
            <w:vAlign w:val="center"/>
          </w:tcPr>
          <w:p>
            <w:pPr>
              <w:bidi w:val="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恼包村委会</w:t>
            </w:r>
          </w:p>
        </w:tc>
        <w:tc>
          <w:tcPr>
            <w:tcW w:w="794" w:type="dxa"/>
            <w:vAlign w:val="top"/>
          </w:tcPr>
          <w:p>
            <w:pPr>
              <w:spacing w:before="80" w:line="190" w:lineRule="auto"/>
              <w:ind w:left="35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93" w:type="dxa"/>
            <w:vAlign w:val="top"/>
          </w:tcPr>
          <w:p>
            <w:pPr>
              <w:rPr>
                <w:rFonts w:hint="eastAsia" w:ascii="仿宋_GB2312" w:hAnsi="仿宋_GB2312" w:eastAsia="仿宋_GB2312" w:cs="仿宋_GB2312"/>
                <w:color w:val="auto"/>
                <w:sz w:val="24"/>
                <w:szCs w:val="24"/>
              </w:rPr>
            </w:pPr>
          </w:p>
        </w:tc>
        <w:tc>
          <w:tcPr>
            <w:tcW w:w="944" w:type="dxa"/>
            <w:vAlign w:val="top"/>
          </w:tcPr>
          <w:p>
            <w:pPr>
              <w:rPr>
                <w:rFonts w:hint="eastAsia" w:ascii="仿宋_GB2312" w:hAnsi="仿宋_GB2312" w:eastAsia="仿宋_GB2312" w:cs="仿宋_GB2312"/>
                <w:color w:val="auto"/>
                <w:sz w:val="24"/>
                <w:szCs w:val="24"/>
              </w:rPr>
            </w:pPr>
          </w:p>
        </w:tc>
        <w:tc>
          <w:tcPr>
            <w:tcW w:w="794" w:type="dxa"/>
            <w:vAlign w:val="top"/>
          </w:tcPr>
          <w:p>
            <w:pPr>
              <w:rPr>
                <w:rFonts w:hint="eastAsia" w:ascii="仿宋_GB2312" w:hAnsi="仿宋_GB2312" w:eastAsia="仿宋_GB2312" w:cs="仿宋_GB2312"/>
                <w:color w:val="auto"/>
                <w:sz w:val="24"/>
                <w:szCs w:val="24"/>
              </w:rPr>
            </w:pPr>
          </w:p>
        </w:tc>
        <w:tc>
          <w:tcPr>
            <w:tcW w:w="793" w:type="dxa"/>
            <w:vAlign w:val="top"/>
          </w:tcPr>
          <w:p>
            <w:pPr>
              <w:rPr>
                <w:rFonts w:hint="eastAsia" w:ascii="仿宋_GB2312" w:hAnsi="仿宋_GB2312" w:eastAsia="仿宋_GB2312" w:cs="仿宋_GB2312"/>
                <w:color w:val="auto"/>
                <w:sz w:val="24"/>
                <w:szCs w:val="24"/>
              </w:rPr>
            </w:pPr>
          </w:p>
        </w:tc>
        <w:tc>
          <w:tcPr>
            <w:tcW w:w="794" w:type="dxa"/>
            <w:vAlign w:val="top"/>
          </w:tcPr>
          <w:p>
            <w:pPr>
              <w:spacing w:before="80" w:line="190" w:lineRule="auto"/>
              <w:ind w:left="347"/>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94" w:type="dxa"/>
            <w:vAlign w:val="top"/>
          </w:tcPr>
          <w:p>
            <w:pPr>
              <w:rPr>
                <w:rFonts w:hint="eastAsia" w:ascii="仿宋_GB2312" w:hAnsi="仿宋_GB2312" w:eastAsia="仿宋_GB2312" w:cs="仿宋_GB2312"/>
                <w:color w:val="auto"/>
                <w:sz w:val="24"/>
                <w:szCs w:val="24"/>
              </w:rPr>
            </w:pPr>
          </w:p>
        </w:tc>
        <w:tc>
          <w:tcPr>
            <w:tcW w:w="794" w:type="dxa"/>
            <w:vAlign w:val="top"/>
          </w:tcPr>
          <w:p>
            <w:pPr>
              <w:spacing w:before="80" w:line="190" w:lineRule="auto"/>
              <w:ind w:left="36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93" w:type="dxa"/>
            <w:vAlign w:val="top"/>
          </w:tcPr>
          <w:p>
            <w:pPr>
              <w:rPr>
                <w:rFonts w:hint="eastAsia" w:ascii="仿宋_GB2312" w:hAnsi="仿宋_GB2312" w:eastAsia="仿宋_GB2312" w:cs="仿宋_GB2312"/>
                <w:color w:val="auto"/>
                <w:sz w:val="24"/>
                <w:szCs w:val="24"/>
              </w:rPr>
            </w:pPr>
          </w:p>
        </w:tc>
        <w:tc>
          <w:tcPr>
            <w:tcW w:w="983" w:type="dxa"/>
            <w:vAlign w:val="top"/>
          </w:tcPr>
          <w:p>
            <w:pPr>
              <w:rPr>
                <w:rFonts w:hint="eastAsia" w:ascii="仿宋_GB2312" w:hAnsi="仿宋_GB2312" w:eastAsia="仿宋_GB2312" w:cs="仿宋_GB2312"/>
                <w:color w:val="auto"/>
                <w:sz w:val="24"/>
                <w:szCs w:val="24"/>
              </w:rPr>
            </w:pPr>
          </w:p>
        </w:tc>
        <w:tc>
          <w:tcPr>
            <w:tcW w:w="782" w:type="dxa"/>
            <w:vAlign w:val="top"/>
          </w:tcPr>
          <w:p>
            <w:pPr>
              <w:rPr>
                <w:rFonts w:hint="eastAsia" w:ascii="仿宋_GB2312" w:hAnsi="仿宋_GB2312" w:eastAsia="仿宋_GB2312" w:cs="仿宋_GB2312"/>
                <w:color w:val="auto"/>
                <w:sz w:val="24"/>
                <w:szCs w:val="24"/>
              </w:rPr>
            </w:pPr>
          </w:p>
        </w:tc>
        <w:tc>
          <w:tcPr>
            <w:tcW w:w="746" w:type="dxa"/>
            <w:vAlign w:val="top"/>
          </w:tcPr>
          <w:p>
            <w:pPr>
              <w:rPr>
                <w:rFonts w:hint="eastAsia"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2714" w:type="dxa"/>
            <w:vAlign w:val="center"/>
          </w:tcPr>
          <w:p>
            <w:pPr>
              <w:bidi w:val="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甲兰板村委会</w:t>
            </w:r>
          </w:p>
        </w:tc>
        <w:tc>
          <w:tcPr>
            <w:tcW w:w="794" w:type="dxa"/>
            <w:vAlign w:val="top"/>
          </w:tcPr>
          <w:p>
            <w:pPr>
              <w:spacing w:before="79" w:line="191" w:lineRule="auto"/>
              <w:ind w:left="35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93" w:type="dxa"/>
            <w:vAlign w:val="top"/>
          </w:tcPr>
          <w:p>
            <w:pPr>
              <w:rPr>
                <w:rFonts w:hint="eastAsia" w:ascii="仿宋_GB2312" w:hAnsi="仿宋_GB2312" w:eastAsia="仿宋_GB2312" w:cs="仿宋_GB2312"/>
                <w:color w:val="auto"/>
                <w:sz w:val="24"/>
                <w:szCs w:val="24"/>
              </w:rPr>
            </w:pPr>
          </w:p>
        </w:tc>
        <w:tc>
          <w:tcPr>
            <w:tcW w:w="944" w:type="dxa"/>
            <w:vAlign w:val="top"/>
          </w:tcPr>
          <w:p>
            <w:pPr>
              <w:rPr>
                <w:rFonts w:hint="eastAsia" w:ascii="仿宋_GB2312" w:hAnsi="仿宋_GB2312" w:eastAsia="仿宋_GB2312" w:cs="仿宋_GB2312"/>
                <w:color w:val="auto"/>
                <w:sz w:val="24"/>
                <w:szCs w:val="24"/>
              </w:rPr>
            </w:pPr>
          </w:p>
        </w:tc>
        <w:tc>
          <w:tcPr>
            <w:tcW w:w="794" w:type="dxa"/>
            <w:vAlign w:val="top"/>
          </w:tcPr>
          <w:p>
            <w:pPr>
              <w:rPr>
                <w:rFonts w:hint="eastAsia" w:ascii="仿宋_GB2312" w:hAnsi="仿宋_GB2312" w:eastAsia="仿宋_GB2312" w:cs="仿宋_GB2312"/>
                <w:color w:val="auto"/>
                <w:sz w:val="24"/>
                <w:szCs w:val="24"/>
              </w:rPr>
            </w:pPr>
          </w:p>
        </w:tc>
        <w:tc>
          <w:tcPr>
            <w:tcW w:w="793" w:type="dxa"/>
            <w:vAlign w:val="top"/>
          </w:tcPr>
          <w:p>
            <w:pPr>
              <w:spacing w:before="79" w:line="191" w:lineRule="auto"/>
              <w:ind w:left="36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94" w:type="dxa"/>
            <w:vAlign w:val="top"/>
          </w:tcPr>
          <w:p>
            <w:pPr>
              <w:spacing w:before="79" w:line="191" w:lineRule="auto"/>
              <w:ind w:left="361"/>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94" w:type="dxa"/>
            <w:vAlign w:val="top"/>
          </w:tcPr>
          <w:p>
            <w:pPr>
              <w:rPr>
                <w:rFonts w:hint="eastAsia" w:ascii="仿宋_GB2312" w:hAnsi="仿宋_GB2312" w:eastAsia="仿宋_GB2312" w:cs="仿宋_GB2312"/>
                <w:color w:val="auto"/>
                <w:sz w:val="24"/>
                <w:szCs w:val="24"/>
              </w:rPr>
            </w:pPr>
          </w:p>
        </w:tc>
        <w:tc>
          <w:tcPr>
            <w:tcW w:w="794" w:type="dxa"/>
            <w:vAlign w:val="top"/>
          </w:tcPr>
          <w:p>
            <w:pPr>
              <w:spacing w:before="79" w:line="191" w:lineRule="auto"/>
              <w:ind w:left="36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93" w:type="dxa"/>
            <w:vAlign w:val="top"/>
          </w:tcPr>
          <w:p>
            <w:pPr>
              <w:rPr>
                <w:rFonts w:hint="eastAsia" w:ascii="仿宋_GB2312" w:hAnsi="仿宋_GB2312" w:eastAsia="仿宋_GB2312" w:cs="仿宋_GB2312"/>
                <w:color w:val="auto"/>
                <w:sz w:val="24"/>
                <w:szCs w:val="24"/>
              </w:rPr>
            </w:pPr>
          </w:p>
        </w:tc>
        <w:tc>
          <w:tcPr>
            <w:tcW w:w="983" w:type="dxa"/>
            <w:vAlign w:val="top"/>
          </w:tcPr>
          <w:p>
            <w:pPr>
              <w:rPr>
                <w:rFonts w:hint="eastAsia" w:ascii="仿宋_GB2312" w:hAnsi="仿宋_GB2312" w:eastAsia="仿宋_GB2312" w:cs="仿宋_GB2312"/>
                <w:color w:val="auto"/>
                <w:sz w:val="24"/>
                <w:szCs w:val="24"/>
              </w:rPr>
            </w:pPr>
          </w:p>
        </w:tc>
        <w:tc>
          <w:tcPr>
            <w:tcW w:w="782" w:type="dxa"/>
            <w:vAlign w:val="top"/>
          </w:tcPr>
          <w:p>
            <w:pPr>
              <w:rPr>
                <w:rFonts w:hint="eastAsia" w:ascii="仿宋_GB2312" w:hAnsi="仿宋_GB2312" w:eastAsia="仿宋_GB2312" w:cs="仿宋_GB2312"/>
                <w:color w:val="auto"/>
                <w:sz w:val="24"/>
                <w:szCs w:val="24"/>
              </w:rPr>
            </w:pPr>
          </w:p>
        </w:tc>
        <w:tc>
          <w:tcPr>
            <w:tcW w:w="746" w:type="dxa"/>
            <w:vAlign w:val="top"/>
          </w:tcPr>
          <w:p>
            <w:pPr>
              <w:rPr>
                <w:rFonts w:hint="eastAsia"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2714" w:type="dxa"/>
            <w:vAlign w:val="center"/>
          </w:tcPr>
          <w:p>
            <w:pPr>
              <w:bidi w:val="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保和少村委会</w:t>
            </w:r>
          </w:p>
        </w:tc>
        <w:tc>
          <w:tcPr>
            <w:tcW w:w="794" w:type="dxa"/>
            <w:vAlign w:val="top"/>
          </w:tcPr>
          <w:p>
            <w:pPr>
              <w:rPr>
                <w:rFonts w:hint="eastAsia" w:ascii="仿宋_GB2312" w:hAnsi="仿宋_GB2312" w:eastAsia="仿宋_GB2312" w:cs="仿宋_GB2312"/>
                <w:color w:val="auto"/>
                <w:sz w:val="24"/>
                <w:szCs w:val="24"/>
              </w:rPr>
            </w:pPr>
          </w:p>
        </w:tc>
        <w:tc>
          <w:tcPr>
            <w:tcW w:w="793" w:type="dxa"/>
            <w:vAlign w:val="top"/>
          </w:tcPr>
          <w:p>
            <w:pPr>
              <w:rPr>
                <w:rFonts w:hint="eastAsia" w:ascii="仿宋_GB2312" w:hAnsi="仿宋_GB2312" w:eastAsia="仿宋_GB2312" w:cs="仿宋_GB2312"/>
                <w:color w:val="auto"/>
                <w:sz w:val="24"/>
                <w:szCs w:val="24"/>
              </w:rPr>
            </w:pPr>
          </w:p>
        </w:tc>
        <w:tc>
          <w:tcPr>
            <w:tcW w:w="944" w:type="dxa"/>
            <w:vAlign w:val="top"/>
          </w:tcPr>
          <w:p>
            <w:pPr>
              <w:rPr>
                <w:rFonts w:hint="eastAsia" w:ascii="仿宋_GB2312" w:hAnsi="仿宋_GB2312" w:eastAsia="仿宋_GB2312" w:cs="仿宋_GB2312"/>
                <w:color w:val="auto"/>
                <w:sz w:val="24"/>
                <w:szCs w:val="24"/>
              </w:rPr>
            </w:pPr>
          </w:p>
        </w:tc>
        <w:tc>
          <w:tcPr>
            <w:tcW w:w="794" w:type="dxa"/>
            <w:vAlign w:val="top"/>
          </w:tcPr>
          <w:p>
            <w:pPr>
              <w:rPr>
                <w:rFonts w:hint="eastAsia" w:ascii="仿宋_GB2312" w:hAnsi="仿宋_GB2312" w:eastAsia="仿宋_GB2312" w:cs="仿宋_GB2312"/>
                <w:color w:val="auto"/>
                <w:sz w:val="24"/>
                <w:szCs w:val="24"/>
              </w:rPr>
            </w:pPr>
          </w:p>
        </w:tc>
        <w:tc>
          <w:tcPr>
            <w:tcW w:w="793" w:type="dxa"/>
            <w:vAlign w:val="top"/>
          </w:tcPr>
          <w:p>
            <w:pPr>
              <w:spacing w:before="80" w:line="190" w:lineRule="auto"/>
              <w:ind w:left="348"/>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94" w:type="dxa"/>
            <w:vAlign w:val="top"/>
          </w:tcPr>
          <w:p>
            <w:pPr>
              <w:rPr>
                <w:rFonts w:hint="eastAsia" w:ascii="仿宋_GB2312" w:hAnsi="仿宋_GB2312" w:eastAsia="仿宋_GB2312" w:cs="仿宋_GB2312"/>
                <w:color w:val="auto"/>
                <w:sz w:val="24"/>
                <w:szCs w:val="24"/>
              </w:rPr>
            </w:pPr>
          </w:p>
        </w:tc>
        <w:tc>
          <w:tcPr>
            <w:tcW w:w="794" w:type="dxa"/>
            <w:vAlign w:val="top"/>
          </w:tcPr>
          <w:p>
            <w:pPr>
              <w:rPr>
                <w:rFonts w:hint="eastAsia" w:ascii="仿宋_GB2312" w:hAnsi="仿宋_GB2312" w:eastAsia="仿宋_GB2312" w:cs="仿宋_GB2312"/>
                <w:color w:val="auto"/>
                <w:sz w:val="24"/>
                <w:szCs w:val="24"/>
              </w:rPr>
            </w:pPr>
          </w:p>
        </w:tc>
        <w:tc>
          <w:tcPr>
            <w:tcW w:w="794" w:type="dxa"/>
            <w:vAlign w:val="top"/>
          </w:tcPr>
          <w:p>
            <w:pPr>
              <w:rPr>
                <w:rFonts w:hint="eastAsia" w:ascii="仿宋_GB2312" w:hAnsi="仿宋_GB2312" w:eastAsia="仿宋_GB2312" w:cs="仿宋_GB2312"/>
                <w:color w:val="auto"/>
                <w:sz w:val="24"/>
                <w:szCs w:val="24"/>
              </w:rPr>
            </w:pPr>
          </w:p>
        </w:tc>
        <w:tc>
          <w:tcPr>
            <w:tcW w:w="793" w:type="dxa"/>
            <w:vAlign w:val="top"/>
          </w:tcPr>
          <w:p>
            <w:pPr>
              <w:rPr>
                <w:rFonts w:hint="eastAsia" w:ascii="仿宋_GB2312" w:hAnsi="仿宋_GB2312" w:eastAsia="仿宋_GB2312" w:cs="仿宋_GB2312"/>
                <w:color w:val="auto"/>
                <w:sz w:val="24"/>
                <w:szCs w:val="24"/>
              </w:rPr>
            </w:pPr>
          </w:p>
        </w:tc>
        <w:tc>
          <w:tcPr>
            <w:tcW w:w="983" w:type="dxa"/>
            <w:vAlign w:val="top"/>
          </w:tcPr>
          <w:p>
            <w:pPr>
              <w:spacing w:before="77" w:line="192" w:lineRule="auto"/>
              <w:ind w:left="36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82" w:type="dxa"/>
            <w:vAlign w:val="top"/>
          </w:tcPr>
          <w:p>
            <w:pPr>
              <w:rPr>
                <w:rFonts w:hint="eastAsia" w:ascii="仿宋_GB2312" w:hAnsi="仿宋_GB2312" w:eastAsia="仿宋_GB2312" w:cs="仿宋_GB2312"/>
                <w:color w:val="auto"/>
                <w:sz w:val="24"/>
                <w:szCs w:val="24"/>
              </w:rPr>
            </w:pPr>
          </w:p>
        </w:tc>
        <w:tc>
          <w:tcPr>
            <w:tcW w:w="746" w:type="dxa"/>
            <w:vAlign w:val="top"/>
          </w:tcPr>
          <w:p>
            <w:pPr>
              <w:rPr>
                <w:rFonts w:hint="eastAsia"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jc w:val="center"/>
        </w:trPr>
        <w:tc>
          <w:tcPr>
            <w:tcW w:w="2714" w:type="dxa"/>
            <w:vAlign w:val="center"/>
          </w:tcPr>
          <w:p>
            <w:pPr>
              <w:bidi w:val="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庄子村委会</w:t>
            </w:r>
          </w:p>
        </w:tc>
        <w:tc>
          <w:tcPr>
            <w:tcW w:w="794" w:type="dxa"/>
            <w:vAlign w:val="top"/>
          </w:tcPr>
          <w:p>
            <w:pPr>
              <w:rPr>
                <w:rFonts w:hint="eastAsia" w:ascii="仿宋_GB2312" w:hAnsi="仿宋_GB2312" w:eastAsia="仿宋_GB2312" w:cs="仿宋_GB2312"/>
                <w:color w:val="auto"/>
                <w:sz w:val="24"/>
                <w:szCs w:val="24"/>
              </w:rPr>
            </w:pPr>
          </w:p>
        </w:tc>
        <w:tc>
          <w:tcPr>
            <w:tcW w:w="793" w:type="dxa"/>
            <w:vAlign w:val="top"/>
          </w:tcPr>
          <w:p>
            <w:pPr>
              <w:rPr>
                <w:rFonts w:hint="eastAsia" w:ascii="仿宋_GB2312" w:hAnsi="仿宋_GB2312" w:eastAsia="仿宋_GB2312" w:cs="仿宋_GB2312"/>
                <w:color w:val="auto"/>
                <w:sz w:val="24"/>
                <w:szCs w:val="24"/>
              </w:rPr>
            </w:pPr>
          </w:p>
        </w:tc>
        <w:tc>
          <w:tcPr>
            <w:tcW w:w="944" w:type="dxa"/>
            <w:vAlign w:val="top"/>
          </w:tcPr>
          <w:p>
            <w:pPr>
              <w:rPr>
                <w:rFonts w:hint="eastAsia" w:ascii="仿宋_GB2312" w:hAnsi="仿宋_GB2312" w:eastAsia="仿宋_GB2312" w:cs="仿宋_GB2312"/>
                <w:color w:val="auto"/>
                <w:sz w:val="24"/>
                <w:szCs w:val="24"/>
              </w:rPr>
            </w:pPr>
          </w:p>
        </w:tc>
        <w:tc>
          <w:tcPr>
            <w:tcW w:w="794" w:type="dxa"/>
            <w:vAlign w:val="top"/>
          </w:tcPr>
          <w:p>
            <w:pPr>
              <w:rPr>
                <w:rFonts w:hint="eastAsia" w:ascii="仿宋_GB2312" w:hAnsi="仿宋_GB2312" w:eastAsia="仿宋_GB2312" w:cs="仿宋_GB2312"/>
                <w:color w:val="auto"/>
                <w:sz w:val="24"/>
                <w:szCs w:val="24"/>
              </w:rPr>
            </w:pPr>
          </w:p>
        </w:tc>
        <w:tc>
          <w:tcPr>
            <w:tcW w:w="793" w:type="dxa"/>
            <w:vAlign w:val="top"/>
          </w:tcPr>
          <w:p>
            <w:pPr>
              <w:spacing w:before="79" w:line="191" w:lineRule="auto"/>
              <w:ind w:left="36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94" w:type="dxa"/>
            <w:vAlign w:val="top"/>
          </w:tcPr>
          <w:p>
            <w:pPr>
              <w:spacing w:before="79" w:line="191" w:lineRule="auto"/>
              <w:ind w:left="361"/>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94" w:type="dxa"/>
            <w:vAlign w:val="top"/>
          </w:tcPr>
          <w:p>
            <w:pPr>
              <w:spacing w:before="79" w:line="191" w:lineRule="auto"/>
              <w:ind w:left="36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94" w:type="dxa"/>
            <w:vAlign w:val="top"/>
          </w:tcPr>
          <w:p>
            <w:pPr>
              <w:spacing w:before="79" w:line="191" w:lineRule="auto"/>
              <w:ind w:left="36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93" w:type="dxa"/>
            <w:vAlign w:val="top"/>
          </w:tcPr>
          <w:p>
            <w:pPr>
              <w:rPr>
                <w:rFonts w:hint="eastAsia" w:ascii="仿宋_GB2312" w:hAnsi="仿宋_GB2312" w:eastAsia="仿宋_GB2312" w:cs="仿宋_GB2312"/>
                <w:color w:val="auto"/>
                <w:sz w:val="24"/>
                <w:szCs w:val="24"/>
              </w:rPr>
            </w:pPr>
          </w:p>
        </w:tc>
        <w:tc>
          <w:tcPr>
            <w:tcW w:w="983" w:type="dxa"/>
            <w:vAlign w:val="top"/>
          </w:tcPr>
          <w:p>
            <w:pPr>
              <w:spacing w:before="79" w:line="191" w:lineRule="auto"/>
              <w:ind w:left="36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82" w:type="dxa"/>
            <w:vAlign w:val="top"/>
          </w:tcPr>
          <w:p>
            <w:pPr>
              <w:rPr>
                <w:rFonts w:hint="eastAsia" w:ascii="仿宋_GB2312" w:hAnsi="仿宋_GB2312" w:eastAsia="仿宋_GB2312" w:cs="仿宋_GB2312"/>
                <w:color w:val="auto"/>
                <w:sz w:val="24"/>
                <w:szCs w:val="24"/>
              </w:rPr>
            </w:pPr>
          </w:p>
        </w:tc>
        <w:tc>
          <w:tcPr>
            <w:tcW w:w="746" w:type="dxa"/>
            <w:vAlign w:val="top"/>
          </w:tcPr>
          <w:p>
            <w:pPr>
              <w:spacing w:before="79" w:line="191" w:lineRule="auto"/>
              <w:ind w:left="36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2714" w:type="dxa"/>
            <w:vAlign w:val="center"/>
          </w:tcPr>
          <w:p>
            <w:pPr>
              <w:bidi w:val="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水泉村委会</w:t>
            </w:r>
          </w:p>
        </w:tc>
        <w:tc>
          <w:tcPr>
            <w:tcW w:w="794" w:type="dxa"/>
            <w:vAlign w:val="top"/>
          </w:tcPr>
          <w:p>
            <w:pPr>
              <w:rPr>
                <w:rFonts w:hint="eastAsia" w:ascii="仿宋_GB2312" w:hAnsi="仿宋_GB2312" w:eastAsia="仿宋_GB2312" w:cs="仿宋_GB2312"/>
                <w:color w:val="auto"/>
                <w:sz w:val="24"/>
                <w:szCs w:val="24"/>
              </w:rPr>
            </w:pPr>
          </w:p>
        </w:tc>
        <w:tc>
          <w:tcPr>
            <w:tcW w:w="793" w:type="dxa"/>
            <w:vAlign w:val="top"/>
          </w:tcPr>
          <w:p>
            <w:pPr>
              <w:rPr>
                <w:rFonts w:hint="eastAsia" w:ascii="仿宋_GB2312" w:hAnsi="仿宋_GB2312" w:eastAsia="仿宋_GB2312" w:cs="仿宋_GB2312"/>
                <w:color w:val="auto"/>
                <w:sz w:val="24"/>
                <w:szCs w:val="24"/>
              </w:rPr>
            </w:pPr>
          </w:p>
        </w:tc>
        <w:tc>
          <w:tcPr>
            <w:tcW w:w="944" w:type="dxa"/>
            <w:vAlign w:val="top"/>
          </w:tcPr>
          <w:p>
            <w:pPr>
              <w:rPr>
                <w:rFonts w:hint="eastAsia" w:ascii="仿宋_GB2312" w:hAnsi="仿宋_GB2312" w:eastAsia="仿宋_GB2312" w:cs="仿宋_GB2312"/>
                <w:color w:val="auto"/>
                <w:sz w:val="24"/>
                <w:szCs w:val="24"/>
              </w:rPr>
            </w:pPr>
          </w:p>
        </w:tc>
        <w:tc>
          <w:tcPr>
            <w:tcW w:w="794" w:type="dxa"/>
            <w:vAlign w:val="top"/>
          </w:tcPr>
          <w:p>
            <w:pPr>
              <w:rPr>
                <w:rFonts w:hint="eastAsia" w:ascii="仿宋_GB2312" w:hAnsi="仿宋_GB2312" w:eastAsia="仿宋_GB2312" w:cs="仿宋_GB2312"/>
                <w:color w:val="auto"/>
                <w:sz w:val="24"/>
                <w:szCs w:val="24"/>
              </w:rPr>
            </w:pPr>
          </w:p>
        </w:tc>
        <w:tc>
          <w:tcPr>
            <w:tcW w:w="793" w:type="dxa"/>
            <w:vAlign w:val="top"/>
          </w:tcPr>
          <w:p>
            <w:pPr>
              <w:spacing w:before="77" w:line="192" w:lineRule="auto"/>
              <w:ind w:left="36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94" w:type="dxa"/>
            <w:vAlign w:val="top"/>
          </w:tcPr>
          <w:p>
            <w:pPr>
              <w:spacing w:before="77" w:line="192" w:lineRule="auto"/>
              <w:ind w:left="361"/>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94" w:type="dxa"/>
            <w:vAlign w:val="top"/>
          </w:tcPr>
          <w:p>
            <w:pPr>
              <w:rPr>
                <w:rFonts w:hint="eastAsia" w:ascii="仿宋_GB2312" w:hAnsi="仿宋_GB2312" w:eastAsia="仿宋_GB2312" w:cs="仿宋_GB2312"/>
                <w:color w:val="auto"/>
                <w:sz w:val="24"/>
                <w:szCs w:val="24"/>
              </w:rPr>
            </w:pPr>
          </w:p>
        </w:tc>
        <w:tc>
          <w:tcPr>
            <w:tcW w:w="794" w:type="dxa"/>
            <w:vAlign w:val="top"/>
          </w:tcPr>
          <w:p>
            <w:pPr>
              <w:spacing w:before="77" w:line="192" w:lineRule="auto"/>
              <w:ind w:left="36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93" w:type="dxa"/>
            <w:vAlign w:val="top"/>
          </w:tcPr>
          <w:p>
            <w:pPr>
              <w:rPr>
                <w:rFonts w:hint="eastAsia" w:ascii="仿宋_GB2312" w:hAnsi="仿宋_GB2312" w:eastAsia="仿宋_GB2312" w:cs="仿宋_GB2312"/>
                <w:color w:val="auto"/>
                <w:sz w:val="24"/>
                <w:szCs w:val="24"/>
              </w:rPr>
            </w:pPr>
          </w:p>
        </w:tc>
        <w:tc>
          <w:tcPr>
            <w:tcW w:w="983" w:type="dxa"/>
            <w:vAlign w:val="top"/>
          </w:tcPr>
          <w:p>
            <w:pPr>
              <w:rPr>
                <w:rFonts w:hint="eastAsia" w:ascii="仿宋_GB2312" w:hAnsi="仿宋_GB2312" w:eastAsia="仿宋_GB2312" w:cs="仿宋_GB2312"/>
                <w:color w:val="auto"/>
                <w:sz w:val="24"/>
                <w:szCs w:val="24"/>
              </w:rPr>
            </w:pPr>
          </w:p>
        </w:tc>
        <w:tc>
          <w:tcPr>
            <w:tcW w:w="782" w:type="dxa"/>
            <w:vAlign w:val="top"/>
          </w:tcPr>
          <w:p>
            <w:pPr>
              <w:rPr>
                <w:rFonts w:hint="eastAsia" w:ascii="仿宋_GB2312" w:hAnsi="仿宋_GB2312" w:eastAsia="仿宋_GB2312" w:cs="仿宋_GB2312"/>
                <w:color w:val="auto"/>
                <w:sz w:val="24"/>
                <w:szCs w:val="24"/>
              </w:rPr>
            </w:pPr>
          </w:p>
        </w:tc>
        <w:tc>
          <w:tcPr>
            <w:tcW w:w="746" w:type="dxa"/>
            <w:vAlign w:val="top"/>
          </w:tcPr>
          <w:p>
            <w:pPr>
              <w:rPr>
                <w:rFonts w:hint="eastAsia"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jc w:val="center"/>
        </w:trPr>
        <w:tc>
          <w:tcPr>
            <w:tcW w:w="2714" w:type="dxa"/>
            <w:vAlign w:val="center"/>
          </w:tcPr>
          <w:p>
            <w:pPr>
              <w:bidi w:val="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大窑村委会</w:t>
            </w:r>
          </w:p>
        </w:tc>
        <w:tc>
          <w:tcPr>
            <w:tcW w:w="794" w:type="dxa"/>
            <w:vAlign w:val="top"/>
          </w:tcPr>
          <w:p>
            <w:pPr>
              <w:rPr>
                <w:rFonts w:hint="eastAsia" w:ascii="仿宋_GB2312" w:hAnsi="仿宋_GB2312" w:eastAsia="仿宋_GB2312" w:cs="仿宋_GB2312"/>
                <w:color w:val="auto"/>
                <w:sz w:val="24"/>
                <w:szCs w:val="24"/>
              </w:rPr>
            </w:pPr>
          </w:p>
        </w:tc>
        <w:tc>
          <w:tcPr>
            <w:tcW w:w="793" w:type="dxa"/>
            <w:vAlign w:val="top"/>
          </w:tcPr>
          <w:p>
            <w:pPr>
              <w:rPr>
                <w:rFonts w:hint="eastAsia" w:ascii="仿宋_GB2312" w:hAnsi="仿宋_GB2312" w:eastAsia="仿宋_GB2312" w:cs="仿宋_GB2312"/>
                <w:color w:val="auto"/>
                <w:sz w:val="24"/>
                <w:szCs w:val="24"/>
              </w:rPr>
            </w:pPr>
          </w:p>
        </w:tc>
        <w:tc>
          <w:tcPr>
            <w:tcW w:w="944" w:type="dxa"/>
            <w:vAlign w:val="top"/>
          </w:tcPr>
          <w:p>
            <w:pPr>
              <w:rPr>
                <w:rFonts w:hint="eastAsia" w:ascii="仿宋_GB2312" w:hAnsi="仿宋_GB2312" w:eastAsia="仿宋_GB2312" w:cs="仿宋_GB2312"/>
                <w:color w:val="auto"/>
                <w:sz w:val="24"/>
                <w:szCs w:val="24"/>
              </w:rPr>
            </w:pPr>
          </w:p>
        </w:tc>
        <w:tc>
          <w:tcPr>
            <w:tcW w:w="794" w:type="dxa"/>
            <w:vAlign w:val="top"/>
          </w:tcPr>
          <w:p>
            <w:pPr>
              <w:rPr>
                <w:rFonts w:hint="eastAsia" w:ascii="仿宋_GB2312" w:hAnsi="仿宋_GB2312" w:eastAsia="仿宋_GB2312" w:cs="仿宋_GB2312"/>
                <w:color w:val="auto"/>
                <w:sz w:val="24"/>
                <w:szCs w:val="24"/>
              </w:rPr>
            </w:pPr>
          </w:p>
        </w:tc>
        <w:tc>
          <w:tcPr>
            <w:tcW w:w="793" w:type="dxa"/>
            <w:vAlign w:val="top"/>
          </w:tcPr>
          <w:p>
            <w:pPr>
              <w:spacing w:before="77" w:line="192" w:lineRule="auto"/>
              <w:ind w:left="36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94" w:type="dxa"/>
            <w:vAlign w:val="top"/>
          </w:tcPr>
          <w:p>
            <w:pPr>
              <w:spacing w:before="77" w:line="192" w:lineRule="auto"/>
              <w:ind w:left="361"/>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94" w:type="dxa"/>
            <w:vAlign w:val="top"/>
          </w:tcPr>
          <w:p>
            <w:pPr>
              <w:rPr>
                <w:rFonts w:hint="eastAsia" w:ascii="仿宋_GB2312" w:hAnsi="仿宋_GB2312" w:eastAsia="仿宋_GB2312" w:cs="仿宋_GB2312"/>
                <w:color w:val="auto"/>
                <w:sz w:val="24"/>
                <w:szCs w:val="24"/>
              </w:rPr>
            </w:pPr>
          </w:p>
        </w:tc>
        <w:tc>
          <w:tcPr>
            <w:tcW w:w="794" w:type="dxa"/>
            <w:vAlign w:val="top"/>
          </w:tcPr>
          <w:p>
            <w:pPr>
              <w:spacing w:before="77" w:line="192" w:lineRule="auto"/>
              <w:ind w:left="36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93" w:type="dxa"/>
            <w:vAlign w:val="top"/>
          </w:tcPr>
          <w:p>
            <w:pPr>
              <w:rPr>
                <w:rFonts w:hint="eastAsia" w:ascii="仿宋_GB2312" w:hAnsi="仿宋_GB2312" w:eastAsia="仿宋_GB2312" w:cs="仿宋_GB2312"/>
                <w:color w:val="auto"/>
                <w:sz w:val="24"/>
                <w:szCs w:val="24"/>
              </w:rPr>
            </w:pPr>
          </w:p>
        </w:tc>
        <w:tc>
          <w:tcPr>
            <w:tcW w:w="983" w:type="dxa"/>
            <w:vAlign w:val="top"/>
          </w:tcPr>
          <w:p>
            <w:pPr>
              <w:rPr>
                <w:rFonts w:hint="eastAsia" w:ascii="仿宋_GB2312" w:hAnsi="仿宋_GB2312" w:eastAsia="仿宋_GB2312" w:cs="仿宋_GB2312"/>
                <w:color w:val="auto"/>
                <w:sz w:val="24"/>
                <w:szCs w:val="24"/>
              </w:rPr>
            </w:pPr>
          </w:p>
        </w:tc>
        <w:tc>
          <w:tcPr>
            <w:tcW w:w="782" w:type="dxa"/>
            <w:vAlign w:val="top"/>
          </w:tcPr>
          <w:p>
            <w:pPr>
              <w:rPr>
                <w:rFonts w:hint="eastAsia" w:ascii="仿宋_GB2312" w:hAnsi="仿宋_GB2312" w:eastAsia="仿宋_GB2312" w:cs="仿宋_GB2312"/>
                <w:color w:val="auto"/>
                <w:sz w:val="24"/>
                <w:szCs w:val="24"/>
              </w:rPr>
            </w:pPr>
          </w:p>
        </w:tc>
        <w:tc>
          <w:tcPr>
            <w:tcW w:w="746" w:type="dxa"/>
            <w:vAlign w:val="top"/>
          </w:tcPr>
          <w:p>
            <w:pPr>
              <w:rPr>
                <w:rFonts w:hint="eastAsia"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jc w:val="center"/>
        </w:trPr>
        <w:tc>
          <w:tcPr>
            <w:tcW w:w="2714" w:type="dxa"/>
            <w:vAlign w:val="center"/>
          </w:tcPr>
          <w:p>
            <w:pPr>
              <w:bidi w:val="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面铺窑村委会</w:t>
            </w:r>
          </w:p>
        </w:tc>
        <w:tc>
          <w:tcPr>
            <w:tcW w:w="794" w:type="dxa"/>
            <w:vAlign w:val="top"/>
          </w:tcPr>
          <w:p>
            <w:pPr>
              <w:spacing w:before="80" w:line="192" w:lineRule="auto"/>
              <w:ind w:left="35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93" w:type="dxa"/>
            <w:vAlign w:val="top"/>
          </w:tcPr>
          <w:p>
            <w:pPr>
              <w:rPr>
                <w:rFonts w:hint="eastAsia" w:ascii="仿宋_GB2312" w:hAnsi="仿宋_GB2312" w:eastAsia="仿宋_GB2312" w:cs="仿宋_GB2312"/>
                <w:color w:val="auto"/>
                <w:sz w:val="24"/>
                <w:szCs w:val="24"/>
              </w:rPr>
            </w:pPr>
          </w:p>
        </w:tc>
        <w:tc>
          <w:tcPr>
            <w:tcW w:w="944" w:type="dxa"/>
            <w:vAlign w:val="top"/>
          </w:tcPr>
          <w:p>
            <w:pPr>
              <w:spacing w:before="80" w:line="192" w:lineRule="auto"/>
              <w:ind w:left="435"/>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94" w:type="dxa"/>
            <w:vAlign w:val="top"/>
          </w:tcPr>
          <w:p>
            <w:pPr>
              <w:spacing w:before="80" w:line="192" w:lineRule="auto"/>
              <w:ind w:left="347"/>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93" w:type="dxa"/>
            <w:vAlign w:val="top"/>
          </w:tcPr>
          <w:p>
            <w:pPr>
              <w:spacing w:before="80" w:line="192" w:lineRule="auto"/>
              <w:ind w:left="36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94" w:type="dxa"/>
            <w:vAlign w:val="top"/>
          </w:tcPr>
          <w:p>
            <w:pPr>
              <w:spacing w:before="80" w:line="192" w:lineRule="auto"/>
              <w:ind w:left="361"/>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94" w:type="dxa"/>
            <w:vAlign w:val="top"/>
          </w:tcPr>
          <w:p>
            <w:pPr>
              <w:rPr>
                <w:rFonts w:hint="eastAsia" w:ascii="仿宋_GB2312" w:hAnsi="仿宋_GB2312" w:eastAsia="仿宋_GB2312" w:cs="仿宋_GB2312"/>
                <w:color w:val="auto"/>
                <w:sz w:val="24"/>
                <w:szCs w:val="24"/>
              </w:rPr>
            </w:pPr>
          </w:p>
        </w:tc>
        <w:tc>
          <w:tcPr>
            <w:tcW w:w="794" w:type="dxa"/>
            <w:vAlign w:val="top"/>
          </w:tcPr>
          <w:p>
            <w:pPr>
              <w:spacing w:before="80" w:line="192" w:lineRule="auto"/>
              <w:ind w:left="36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93" w:type="dxa"/>
            <w:vAlign w:val="top"/>
          </w:tcPr>
          <w:p>
            <w:pPr>
              <w:spacing w:before="80" w:line="192" w:lineRule="auto"/>
              <w:ind w:left="36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83" w:type="dxa"/>
            <w:vAlign w:val="top"/>
          </w:tcPr>
          <w:p>
            <w:pPr>
              <w:spacing w:before="77" w:line="192" w:lineRule="auto"/>
              <w:ind w:left="36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82" w:type="dxa"/>
            <w:vAlign w:val="top"/>
          </w:tcPr>
          <w:p>
            <w:pPr>
              <w:rPr>
                <w:rFonts w:hint="eastAsia" w:ascii="仿宋_GB2312" w:hAnsi="仿宋_GB2312" w:eastAsia="仿宋_GB2312" w:cs="仿宋_GB2312"/>
                <w:color w:val="auto"/>
                <w:sz w:val="24"/>
                <w:szCs w:val="24"/>
              </w:rPr>
            </w:pPr>
          </w:p>
        </w:tc>
        <w:tc>
          <w:tcPr>
            <w:tcW w:w="746" w:type="dxa"/>
            <w:vAlign w:val="top"/>
          </w:tcPr>
          <w:p>
            <w:pPr>
              <w:spacing w:before="77" w:line="192" w:lineRule="auto"/>
              <w:ind w:left="36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r>
    </w:tbl>
    <w:p>
      <w:pPr>
        <w:rPr>
          <w:color w:val="auto"/>
        </w:rPr>
        <w:sectPr>
          <w:pgSz w:w="16839" w:h="11906"/>
          <w:pgMar w:top="1012" w:right="2525" w:bottom="0" w:left="1420" w:header="0" w:footer="964" w:gutter="0"/>
          <w:pgBorders>
            <w:top w:val="none" w:sz="0" w:space="0"/>
            <w:left w:val="none" w:sz="0" w:space="0"/>
            <w:bottom w:val="none" w:sz="0" w:space="0"/>
            <w:right w:val="none" w:sz="0" w:space="0"/>
          </w:pgBorders>
          <w:pgNumType w:fmt="decimal"/>
          <w:cols w:space="720" w:num="1"/>
        </w:sectPr>
      </w:pPr>
    </w:p>
    <w:p>
      <w:pPr>
        <w:spacing w:line="337" w:lineRule="auto"/>
        <w:rPr>
          <w:rFonts w:ascii="Arial"/>
          <w:color w:val="auto"/>
          <w:sz w:val="21"/>
        </w:rPr>
      </w:pPr>
    </w:p>
    <w:p>
      <w:pPr>
        <w:bidi w:val="0"/>
        <w:jc w:val="center"/>
        <w:rPr>
          <w:rFonts w:hint="eastAsia" w:ascii="黑体" w:hAnsi="黑体" w:eastAsia="黑体" w:cs="黑体"/>
          <w:color w:val="auto"/>
          <w:sz w:val="32"/>
          <w:szCs w:val="32"/>
        </w:rPr>
      </w:pPr>
      <w:r>
        <w:rPr>
          <w:rFonts w:hint="eastAsia" w:ascii="黑体" w:hAnsi="黑体" w:eastAsia="黑体" w:cs="黑体"/>
          <w:color w:val="auto"/>
          <w:sz w:val="32"/>
          <w:szCs w:val="32"/>
        </w:rPr>
        <w:t>保合少镇灭火物资清单</w:t>
      </w:r>
    </w:p>
    <w:p>
      <w:pPr>
        <w:spacing w:line="104" w:lineRule="exact"/>
        <w:rPr>
          <w:color w:val="auto"/>
        </w:rPr>
      </w:pPr>
    </w:p>
    <w:tbl>
      <w:tblPr>
        <w:tblStyle w:val="25"/>
        <w:tblW w:w="829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7"/>
        <w:gridCol w:w="1211"/>
        <w:gridCol w:w="726"/>
        <w:gridCol w:w="1022"/>
        <w:gridCol w:w="949"/>
        <w:gridCol w:w="950"/>
        <w:gridCol w:w="10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jc w:val="center"/>
        </w:trPr>
        <w:tc>
          <w:tcPr>
            <w:tcW w:w="2417" w:type="dxa"/>
            <w:vMerge w:val="restart"/>
            <w:tcBorders>
              <w:tl2br w:val="single" w:color="000000" w:sz="2" w:space="0"/>
            </w:tcBorders>
            <w:vAlign w:val="center"/>
          </w:tcPr>
          <w:p>
            <w:pPr>
              <w:bidi w:val="0"/>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      物资名称（单位）</w:t>
            </w:r>
          </w:p>
          <w:p>
            <w:pPr>
              <w:bidi w:val="0"/>
              <w:jc w:val="center"/>
              <w:rPr>
                <w:rFonts w:hint="default" w:ascii="仿宋_GB2312" w:hAnsi="仿宋_GB2312" w:eastAsia="仿宋_GB2312" w:cs="仿宋_GB2312"/>
                <w:b/>
                <w:bCs/>
                <w:color w:val="auto"/>
                <w:sz w:val="24"/>
                <w:szCs w:val="24"/>
                <w:lang w:val="en-US" w:eastAsia="zh-CN"/>
              </w:rPr>
            </w:pPr>
          </w:p>
          <w:p>
            <w:pPr>
              <w:bidi w:val="0"/>
              <w:jc w:val="both"/>
              <w:rPr>
                <w:rFonts w:hint="default"/>
                <w:color w:val="auto"/>
                <w:lang w:val="en-US" w:eastAsia="zh-CN"/>
              </w:rPr>
            </w:pPr>
            <w:r>
              <w:rPr>
                <w:rFonts w:hint="eastAsia" w:ascii="仿宋_GB2312" w:hAnsi="仿宋_GB2312" w:eastAsia="仿宋_GB2312" w:cs="仿宋_GB2312"/>
                <w:b/>
                <w:bCs/>
                <w:color w:val="auto"/>
                <w:sz w:val="24"/>
                <w:szCs w:val="24"/>
                <w:lang w:val="en-US" w:eastAsia="zh-CN"/>
              </w:rPr>
              <w:t>存放地点</w:t>
            </w:r>
          </w:p>
        </w:tc>
        <w:tc>
          <w:tcPr>
            <w:tcW w:w="1211" w:type="dxa"/>
            <w:vAlign w:val="center"/>
          </w:tcPr>
          <w:p>
            <w:pPr>
              <w:bidi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风力灭火机</w:t>
            </w:r>
          </w:p>
        </w:tc>
        <w:tc>
          <w:tcPr>
            <w:tcW w:w="726" w:type="dxa"/>
            <w:vAlign w:val="center"/>
          </w:tcPr>
          <w:p>
            <w:pPr>
              <w:bidi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扑火服</w:t>
            </w:r>
          </w:p>
        </w:tc>
        <w:tc>
          <w:tcPr>
            <w:tcW w:w="1022" w:type="dxa"/>
            <w:vAlign w:val="center"/>
          </w:tcPr>
          <w:p>
            <w:pPr>
              <w:bidi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安全防</w:t>
            </w:r>
          </w:p>
          <w:p>
            <w:pPr>
              <w:bidi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护装备</w:t>
            </w:r>
          </w:p>
        </w:tc>
        <w:tc>
          <w:tcPr>
            <w:tcW w:w="949" w:type="dxa"/>
            <w:vAlign w:val="center"/>
          </w:tcPr>
          <w:p>
            <w:pPr>
              <w:bidi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二号</w:t>
            </w:r>
          </w:p>
          <w:p>
            <w:pPr>
              <w:bidi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工具</w:t>
            </w:r>
          </w:p>
        </w:tc>
        <w:tc>
          <w:tcPr>
            <w:tcW w:w="950" w:type="dxa"/>
            <w:vAlign w:val="center"/>
          </w:tcPr>
          <w:p>
            <w:pPr>
              <w:bidi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帐篷</w:t>
            </w:r>
          </w:p>
        </w:tc>
        <w:tc>
          <w:tcPr>
            <w:tcW w:w="1016" w:type="dxa"/>
            <w:vAlign w:val="center"/>
          </w:tcPr>
          <w:p>
            <w:pPr>
              <w:bidi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望远镜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2417" w:type="dxa"/>
            <w:vMerge w:val="continue"/>
            <w:vAlign w:val="center"/>
          </w:tcPr>
          <w:p>
            <w:pPr>
              <w:bidi w:val="0"/>
              <w:jc w:val="center"/>
              <w:rPr>
                <w:rFonts w:hint="eastAsia" w:ascii="仿宋_GB2312" w:hAnsi="仿宋_GB2312" w:eastAsia="仿宋_GB2312" w:cs="仿宋_GB2312"/>
                <w:color w:val="auto"/>
                <w:sz w:val="24"/>
                <w:szCs w:val="24"/>
              </w:rPr>
            </w:pPr>
          </w:p>
        </w:tc>
        <w:tc>
          <w:tcPr>
            <w:tcW w:w="1211" w:type="dxa"/>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个</w:t>
            </w:r>
          </w:p>
        </w:tc>
        <w:tc>
          <w:tcPr>
            <w:tcW w:w="726" w:type="dxa"/>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套</w:t>
            </w:r>
          </w:p>
        </w:tc>
        <w:tc>
          <w:tcPr>
            <w:tcW w:w="1022" w:type="dxa"/>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套</w:t>
            </w:r>
          </w:p>
        </w:tc>
        <w:tc>
          <w:tcPr>
            <w:tcW w:w="949" w:type="dxa"/>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把</w:t>
            </w:r>
          </w:p>
        </w:tc>
        <w:tc>
          <w:tcPr>
            <w:tcW w:w="950" w:type="dxa"/>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个</w:t>
            </w:r>
          </w:p>
        </w:tc>
        <w:tc>
          <w:tcPr>
            <w:tcW w:w="1016" w:type="dxa"/>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2417" w:type="dxa"/>
            <w:vAlign w:val="center"/>
          </w:tcPr>
          <w:p>
            <w:pPr>
              <w:bidi w:val="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保合少镇人民政府</w:t>
            </w:r>
          </w:p>
        </w:tc>
        <w:tc>
          <w:tcPr>
            <w:tcW w:w="1211" w:type="dxa"/>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48</w:t>
            </w:r>
          </w:p>
        </w:tc>
        <w:tc>
          <w:tcPr>
            <w:tcW w:w="726" w:type="dxa"/>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1022" w:type="dxa"/>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949" w:type="dxa"/>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142</w:t>
            </w:r>
          </w:p>
        </w:tc>
        <w:tc>
          <w:tcPr>
            <w:tcW w:w="950" w:type="dxa"/>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1016" w:type="dxa"/>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2417" w:type="dxa"/>
            <w:vAlign w:val="center"/>
          </w:tcPr>
          <w:p>
            <w:pPr>
              <w:bidi w:val="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水磨村委会</w:t>
            </w:r>
          </w:p>
        </w:tc>
        <w:tc>
          <w:tcPr>
            <w:tcW w:w="1211" w:type="dxa"/>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726" w:type="dxa"/>
            <w:vAlign w:val="center"/>
          </w:tcPr>
          <w:p>
            <w:pPr>
              <w:bidi w:val="0"/>
              <w:jc w:val="center"/>
              <w:rPr>
                <w:rFonts w:hint="eastAsia" w:ascii="仿宋_GB2312" w:hAnsi="仿宋_GB2312" w:eastAsia="仿宋_GB2312" w:cs="仿宋_GB2312"/>
                <w:color w:val="auto"/>
                <w:sz w:val="24"/>
                <w:szCs w:val="24"/>
              </w:rPr>
            </w:pPr>
          </w:p>
        </w:tc>
        <w:tc>
          <w:tcPr>
            <w:tcW w:w="1022" w:type="dxa"/>
            <w:vAlign w:val="center"/>
          </w:tcPr>
          <w:p>
            <w:pPr>
              <w:bidi w:val="0"/>
              <w:jc w:val="center"/>
              <w:rPr>
                <w:rFonts w:hint="eastAsia" w:ascii="仿宋_GB2312" w:hAnsi="仿宋_GB2312" w:eastAsia="仿宋_GB2312" w:cs="仿宋_GB2312"/>
                <w:color w:val="auto"/>
                <w:sz w:val="24"/>
                <w:szCs w:val="24"/>
              </w:rPr>
            </w:pPr>
          </w:p>
        </w:tc>
        <w:tc>
          <w:tcPr>
            <w:tcW w:w="949" w:type="dxa"/>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p>
        </w:tc>
        <w:tc>
          <w:tcPr>
            <w:tcW w:w="950" w:type="dxa"/>
            <w:vAlign w:val="center"/>
          </w:tcPr>
          <w:p>
            <w:pPr>
              <w:bidi w:val="0"/>
              <w:jc w:val="center"/>
              <w:rPr>
                <w:rFonts w:hint="eastAsia" w:ascii="仿宋_GB2312" w:hAnsi="仿宋_GB2312" w:eastAsia="仿宋_GB2312" w:cs="仿宋_GB2312"/>
                <w:color w:val="auto"/>
                <w:sz w:val="24"/>
                <w:szCs w:val="24"/>
              </w:rPr>
            </w:pPr>
          </w:p>
        </w:tc>
        <w:tc>
          <w:tcPr>
            <w:tcW w:w="1016" w:type="dxa"/>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2417" w:type="dxa"/>
            <w:vAlign w:val="center"/>
          </w:tcPr>
          <w:p>
            <w:pPr>
              <w:bidi w:val="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古路板村委会</w:t>
            </w:r>
          </w:p>
        </w:tc>
        <w:tc>
          <w:tcPr>
            <w:tcW w:w="1211" w:type="dxa"/>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26" w:type="dxa"/>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1022" w:type="dxa"/>
            <w:vAlign w:val="center"/>
          </w:tcPr>
          <w:p>
            <w:pPr>
              <w:bidi w:val="0"/>
              <w:jc w:val="center"/>
              <w:rPr>
                <w:rFonts w:hint="eastAsia" w:ascii="仿宋_GB2312" w:hAnsi="仿宋_GB2312" w:eastAsia="仿宋_GB2312" w:cs="仿宋_GB2312"/>
                <w:color w:val="auto"/>
                <w:sz w:val="24"/>
                <w:szCs w:val="24"/>
              </w:rPr>
            </w:pPr>
          </w:p>
        </w:tc>
        <w:tc>
          <w:tcPr>
            <w:tcW w:w="949" w:type="dxa"/>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950" w:type="dxa"/>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016" w:type="dxa"/>
            <w:vAlign w:val="center"/>
          </w:tcPr>
          <w:p>
            <w:pPr>
              <w:bidi w:val="0"/>
              <w:jc w:val="center"/>
              <w:rPr>
                <w:rFonts w:hint="eastAsia"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2417" w:type="dxa"/>
            <w:vAlign w:val="center"/>
          </w:tcPr>
          <w:p>
            <w:pPr>
              <w:bidi w:val="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野马图村委会</w:t>
            </w:r>
          </w:p>
        </w:tc>
        <w:tc>
          <w:tcPr>
            <w:tcW w:w="1211" w:type="dxa"/>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726" w:type="dxa"/>
            <w:vAlign w:val="center"/>
          </w:tcPr>
          <w:p>
            <w:pPr>
              <w:bidi w:val="0"/>
              <w:jc w:val="center"/>
              <w:rPr>
                <w:rFonts w:hint="eastAsia" w:ascii="仿宋_GB2312" w:hAnsi="仿宋_GB2312" w:eastAsia="仿宋_GB2312" w:cs="仿宋_GB2312"/>
                <w:color w:val="auto"/>
                <w:sz w:val="24"/>
                <w:szCs w:val="24"/>
              </w:rPr>
            </w:pPr>
          </w:p>
        </w:tc>
        <w:tc>
          <w:tcPr>
            <w:tcW w:w="1022" w:type="dxa"/>
            <w:vAlign w:val="center"/>
          </w:tcPr>
          <w:p>
            <w:pPr>
              <w:bidi w:val="0"/>
              <w:jc w:val="center"/>
              <w:rPr>
                <w:rFonts w:hint="eastAsia" w:ascii="仿宋_GB2312" w:hAnsi="仿宋_GB2312" w:eastAsia="仿宋_GB2312" w:cs="仿宋_GB2312"/>
                <w:color w:val="auto"/>
                <w:sz w:val="24"/>
                <w:szCs w:val="24"/>
              </w:rPr>
            </w:pPr>
          </w:p>
        </w:tc>
        <w:tc>
          <w:tcPr>
            <w:tcW w:w="949" w:type="dxa"/>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25</w:t>
            </w:r>
          </w:p>
        </w:tc>
        <w:tc>
          <w:tcPr>
            <w:tcW w:w="950" w:type="dxa"/>
            <w:vAlign w:val="center"/>
          </w:tcPr>
          <w:p>
            <w:pPr>
              <w:bidi w:val="0"/>
              <w:jc w:val="center"/>
              <w:rPr>
                <w:rFonts w:hint="eastAsia" w:ascii="仿宋_GB2312" w:hAnsi="仿宋_GB2312" w:eastAsia="仿宋_GB2312" w:cs="仿宋_GB2312"/>
                <w:color w:val="auto"/>
                <w:sz w:val="24"/>
                <w:szCs w:val="24"/>
              </w:rPr>
            </w:pPr>
          </w:p>
        </w:tc>
        <w:tc>
          <w:tcPr>
            <w:tcW w:w="1016" w:type="dxa"/>
            <w:vAlign w:val="center"/>
          </w:tcPr>
          <w:p>
            <w:pPr>
              <w:bidi w:val="0"/>
              <w:jc w:val="center"/>
              <w:rPr>
                <w:rFonts w:hint="eastAsia"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2417" w:type="dxa"/>
            <w:vAlign w:val="center"/>
          </w:tcPr>
          <w:p>
            <w:pPr>
              <w:bidi w:val="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奎素村委会</w:t>
            </w:r>
          </w:p>
        </w:tc>
        <w:tc>
          <w:tcPr>
            <w:tcW w:w="1211" w:type="dxa"/>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726" w:type="dxa"/>
            <w:vAlign w:val="center"/>
          </w:tcPr>
          <w:p>
            <w:pPr>
              <w:bidi w:val="0"/>
              <w:jc w:val="center"/>
              <w:rPr>
                <w:rFonts w:hint="eastAsia" w:ascii="仿宋_GB2312" w:hAnsi="仿宋_GB2312" w:eastAsia="仿宋_GB2312" w:cs="仿宋_GB2312"/>
                <w:color w:val="auto"/>
                <w:sz w:val="24"/>
                <w:szCs w:val="24"/>
              </w:rPr>
            </w:pPr>
          </w:p>
        </w:tc>
        <w:tc>
          <w:tcPr>
            <w:tcW w:w="1022" w:type="dxa"/>
            <w:vAlign w:val="center"/>
          </w:tcPr>
          <w:p>
            <w:pPr>
              <w:bidi w:val="0"/>
              <w:jc w:val="center"/>
              <w:rPr>
                <w:rFonts w:hint="eastAsia" w:ascii="仿宋_GB2312" w:hAnsi="仿宋_GB2312" w:eastAsia="仿宋_GB2312" w:cs="仿宋_GB2312"/>
                <w:color w:val="auto"/>
                <w:sz w:val="24"/>
                <w:szCs w:val="24"/>
              </w:rPr>
            </w:pPr>
          </w:p>
        </w:tc>
        <w:tc>
          <w:tcPr>
            <w:tcW w:w="949" w:type="dxa"/>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p>
        </w:tc>
        <w:tc>
          <w:tcPr>
            <w:tcW w:w="950" w:type="dxa"/>
            <w:vAlign w:val="center"/>
          </w:tcPr>
          <w:p>
            <w:pPr>
              <w:bidi w:val="0"/>
              <w:jc w:val="center"/>
              <w:rPr>
                <w:rFonts w:hint="eastAsia" w:ascii="仿宋_GB2312" w:hAnsi="仿宋_GB2312" w:eastAsia="仿宋_GB2312" w:cs="仿宋_GB2312"/>
                <w:color w:val="auto"/>
                <w:sz w:val="24"/>
                <w:szCs w:val="24"/>
              </w:rPr>
            </w:pPr>
          </w:p>
        </w:tc>
        <w:tc>
          <w:tcPr>
            <w:tcW w:w="1016" w:type="dxa"/>
            <w:vAlign w:val="center"/>
          </w:tcPr>
          <w:p>
            <w:pPr>
              <w:bidi w:val="0"/>
              <w:jc w:val="center"/>
              <w:rPr>
                <w:rFonts w:hint="eastAsia"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2417" w:type="dxa"/>
            <w:vAlign w:val="center"/>
          </w:tcPr>
          <w:p>
            <w:pPr>
              <w:bidi w:val="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恼包村委会</w:t>
            </w:r>
          </w:p>
        </w:tc>
        <w:tc>
          <w:tcPr>
            <w:tcW w:w="1211" w:type="dxa"/>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726" w:type="dxa"/>
            <w:vAlign w:val="center"/>
          </w:tcPr>
          <w:p>
            <w:pPr>
              <w:bidi w:val="0"/>
              <w:jc w:val="center"/>
              <w:rPr>
                <w:rFonts w:hint="eastAsia" w:ascii="仿宋_GB2312" w:hAnsi="仿宋_GB2312" w:eastAsia="仿宋_GB2312" w:cs="仿宋_GB2312"/>
                <w:color w:val="auto"/>
                <w:sz w:val="24"/>
                <w:szCs w:val="24"/>
              </w:rPr>
            </w:pPr>
          </w:p>
        </w:tc>
        <w:tc>
          <w:tcPr>
            <w:tcW w:w="1022" w:type="dxa"/>
            <w:vAlign w:val="center"/>
          </w:tcPr>
          <w:p>
            <w:pPr>
              <w:bidi w:val="0"/>
              <w:jc w:val="center"/>
              <w:rPr>
                <w:rFonts w:hint="eastAsia" w:ascii="仿宋_GB2312" w:hAnsi="仿宋_GB2312" w:eastAsia="仿宋_GB2312" w:cs="仿宋_GB2312"/>
                <w:color w:val="auto"/>
                <w:sz w:val="24"/>
                <w:szCs w:val="24"/>
              </w:rPr>
            </w:pPr>
          </w:p>
        </w:tc>
        <w:tc>
          <w:tcPr>
            <w:tcW w:w="949" w:type="dxa"/>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p>
        </w:tc>
        <w:tc>
          <w:tcPr>
            <w:tcW w:w="950" w:type="dxa"/>
            <w:vAlign w:val="center"/>
          </w:tcPr>
          <w:p>
            <w:pPr>
              <w:bidi w:val="0"/>
              <w:jc w:val="center"/>
              <w:rPr>
                <w:rFonts w:hint="eastAsia" w:ascii="仿宋_GB2312" w:hAnsi="仿宋_GB2312" w:eastAsia="仿宋_GB2312" w:cs="仿宋_GB2312"/>
                <w:color w:val="auto"/>
                <w:sz w:val="24"/>
                <w:szCs w:val="24"/>
              </w:rPr>
            </w:pPr>
          </w:p>
        </w:tc>
        <w:tc>
          <w:tcPr>
            <w:tcW w:w="1016" w:type="dxa"/>
            <w:vAlign w:val="center"/>
          </w:tcPr>
          <w:p>
            <w:pPr>
              <w:bidi w:val="0"/>
              <w:jc w:val="center"/>
              <w:rPr>
                <w:rFonts w:hint="eastAsia"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2417" w:type="dxa"/>
            <w:vAlign w:val="center"/>
          </w:tcPr>
          <w:p>
            <w:pPr>
              <w:bidi w:val="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甲兰板村委会</w:t>
            </w:r>
          </w:p>
        </w:tc>
        <w:tc>
          <w:tcPr>
            <w:tcW w:w="1211" w:type="dxa"/>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726" w:type="dxa"/>
            <w:vAlign w:val="center"/>
          </w:tcPr>
          <w:p>
            <w:pPr>
              <w:bidi w:val="0"/>
              <w:jc w:val="center"/>
              <w:rPr>
                <w:rFonts w:hint="eastAsia" w:ascii="仿宋_GB2312" w:hAnsi="仿宋_GB2312" w:eastAsia="仿宋_GB2312" w:cs="仿宋_GB2312"/>
                <w:color w:val="auto"/>
                <w:sz w:val="24"/>
                <w:szCs w:val="24"/>
              </w:rPr>
            </w:pPr>
          </w:p>
        </w:tc>
        <w:tc>
          <w:tcPr>
            <w:tcW w:w="1022" w:type="dxa"/>
            <w:vAlign w:val="center"/>
          </w:tcPr>
          <w:p>
            <w:pPr>
              <w:bidi w:val="0"/>
              <w:jc w:val="center"/>
              <w:rPr>
                <w:rFonts w:hint="eastAsia" w:ascii="仿宋_GB2312" w:hAnsi="仿宋_GB2312" w:eastAsia="仿宋_GB2312" w:cs="仿宋_GB2312"/>
                <w:color w:val="auto"/>
                <w:sz w:val="24"/>
                <w:szCs w:val="24"/>
              </w:rPr>
            </w:pPr>
          </w:p>
        </w:tc>
        <w:tc>
          <w:tcPr>
            <w:tcW w:w="949" w:type="dxa"/>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w:t>
            </w:r>
          </w:p>
        </w:tc>
        <w:tc>
          <w:tcPr>
            <w:tcW w:w="950" w:type="dxa"/>
            <w:vAlign w:val="center"/>
          </w:tcPr>
          <w:p>
            <w:pPr>
              <w:bidi w:val="0"/>
              <w:jc w:val="center"/>
              <w:rPr>
                <w:rFonts w:hint="eastAsia" w:ascii="仿宋_GB2312" w:hAnsi="仿宋_GB2312" w:eastAsia="仿宋_GB2312" w:cs="仿宋_GB2312"/>
                <w:color w:val="auto"/>
                <w:sz w:val="24"/>
                <w:szCs w:val="24"/>
              </w:rPr>
            </w:pPr>
          </w:p>
        </w:tc>
        <w:tc>
          <w:tcPr>
            <w:tcW w:w="1016" w:type="dxa"/>
            <w:vAlign w:val="center"/>
          </w:tcPr>
          <w:p>
            <w:pPr>
              <w:bidi w:val="0"/>
              <w:jc w:val="center"/>
              <w:rPr>
                <w:rFonts w:hint="eastAsia"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2417" w:type="dxa"/>
            <w:vAlign w:val="center"/>
          </w:tcPr>
          <w:p>
            <w:pPr>
              <w:bidi w:val="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保和少村委会</w:t>
            </w:r>
          </w:p>
        </w:tc>
        <w:tc>
          <w:tcPr>
            <w:tcW w:w="1211" w:type="dxa"/>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26" w:type="dxa"/>
            <w:vAlign w:val="center"/>
          </w:tcPr>
          <w:p>
            <w:pPr>
              <w:bidi w:val="0"/>
              <w:jc w:val="center"/>
              <w:rPr>
                <w:rFonts w:hint="eastAsia" w:ascii="仿宋_GB2312" w:hAnsi="仿宋_GB2312" w:eastAsia="仿宋_GB2312" w:cs="仿宋_GB2312"/>
                <w:color w:val="auto"/>
                <w:sz w:val="24"/>
                <w:szCs w:val="24"/>
              </w:rPr>
            </w:pPr>
          </w:p>
        </w:tc>
        <w:tc>
          <w:tcPr>
            <w:tcW w:w="1022" w:type="dxa"/>
            <w:vAlign w:val="center"/>
          </w:tcPr>
          <w:p>
            <w:pPr>
              <w:bidi w:val="0"/>
              <w:jc w:val="center"/>
              <w:rPr>
                <w:rFonts w:hint="eastAsia" w:ascii="仿宋_GB2312" w:hAnsi="仿宋_GB2312" w:eastAsia="仿宋_GB2312" w:cs="仿宋_GB2312"/>
                <w:color w:val="auto"/>
                <w:sz w:val="24"/>
                <w:szCs w:val="24"/>
              </w:rPr>
            </w:pPr>
          </w:p>
        </w:tc>
        <w:tc>
          <w:tcPr>
            <w:tcW w:w="949" w:type="dxa"/>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p>
        </w:tc>
        <w:tc>
          <w:tcPr>
            <w:tcW w:w="950" w:type="dxa"/>
            <w:vAlign w:val="center"/>
          </w:tcPr>
          <w:p>
            <w:pPr>
              <w:bidi w:val="0"/>
              <w:jc w:val="center"/>
              <w:rPr>
                <w:rFonts w:hint="eastAsia" w:ascii="仿宋_GB2312" w:hAnsi="仿宋_GB2312" w:eastAsia="仿宋_GB2312" w:cs="仿宋_GB2312"/>
                <w:color w:val="auto"/>
                <w:sz w:val="24"/>
                <w:szCs w:val="24"/>
              </w:rPr>
            </w:pPr>
          </w:p>
        </w:tc>
        <w:tc>
          <w:tcPr>
            <w:tcW w:w="1016" w:type="dxa"/>
            <w:vAlign w:val="center"/>
          </w:tcPr>
          <w:p>
            <w:pPr>
              <w:bidi w:val="0"/>
              <w:jc w:val="center"/>
              <w:rPr>
                <w:rFonts w:hint="eastAsia"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2417" w:type="dxa"/>
            <w:vAlign w:val="center"/>
          </w:tcPr>
          <w:p>
            <w:pPr>
              <w:bidi w:val="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庄子村委会</w:t>
            </w:r>
          </w:p>
        </w:tc>
        <w:tc>
          <w:tcPr>
            <w:tcW w:w="1211" w:type="dxa"/>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726" w:type="dxa"/>
            <w:vAlign w:val="center"/>
          </w:tcPr>
          <w:p>
            <w:pPr>
              <w:bidi w:val="0"/>
              <w:jc w:val="center"/>
              <w:rPr>
                <w:rFonts w:hint="eastAsia" w:ascii="仿宋_GB2312" w:hAnsi="仿宋_GB2312" w:eastAsia="仿宋_GB2312" w:cs="仿宋_GB2312"/>
                <w:color w:val="auto"/>
                <w:sz w:val="24"/>
                <w:szCs w:val="24"/>
              </w:rPr>
            </w:pPr>
          </w:p>
        </w:tc>
        <w:tc>
          <w:tcPr>
            <w:tcW w:w="1022" w:type="dxa"/>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949" w:type="dxa"/>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950" w:type="dxa"/>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016" w:type="dxa"/>
            <w:vAlign w:val="center"/>
          </w:tcPr>
          <w:p>
            <w:pPr>
              <w:bidi w:val="0"/>
              <w:jc w:val="center"/>
              <w:rPr>
                <w:rFonts w:hint="eastAsia"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2417" w:type="dxa"/>
            <w:vAlign w:val="center"/>
          </w:tcPr>
          <w:p>
            <w:pPr>
              <w:bidi w:val="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水泉村委会</w:t>
            </w:r>
          </w:p>
        </w:tc>
        <w:tc>
          <w:tcPr>
            <w:tcW w:w="1211" w:type="dxa"/>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726" w:type="dxa"/>
            <w:vAlign w:val="center"/>
          </w:tcPr>
          <w:p>
            <w:pPr>
              <w:bidi w:val="0"/>
              <w:jc w:val="center"/>
              <w:rPr>
                <w:rFonts w:hint="eastAsia" w:ascii="仿宋_GB2312" w:hAnsi="仿宋_GB2312" w:eastAsia="仿宋_GB2312" w:cs="仿宋_GB2312"/>
                <w:color w:val="auto"/>
                <w:sz w:val="24"/>
                <w:szCs w:val="24"/>
              </w:rPr>
            </w:pPr>
          </w:p>
        </w:tc>
        <w:tc>
          <w:tcPr>
            <w:tcW w:w="1022" w:type="dxa"/>
            <w:vAlign w:val="center"/>
          </w:tcPr>
          <w:p>
            <w:pPr>
              <w:bidi w:val="0"/>
              <w:jc w:val="center"/>
              <w:rPr>
                <w:rFonts w:hint="eastAsia" w:ascii="仿宋_GB2312" w:hAnsi="仿宋_GB2312" w:eastAsia="仿宋_GB2312" w:cs="仿宋_GB2312"/>
                <w:color w:val="auto"/>
                <w:sz w:val="24"/>
                <w:szCs w:val="24"/>
              </w:rPr>
            </w:pPr>
          </w:p>
        </w:tc>
        <w:tc>
          <w:tcPr>
            <w:tcW w:w="949" w:type="dxa"/>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950" w:type="dxa"/>
            <w:vAlign w:val="center"/>
          </w:tcPr>
          <w:p>
            <w:pPr>
              <w:bidi w:val="0"/>
              <w:jc w:val="center"/>
              <w:rPr>
                <w:rFonts w:hint="eastAsia" w:ascii="仿宋_GB2312" w:hAnsi="仿宋_GB2312" w:eastAsia="仿宋_GB2312" w:cs="仿宋_GB2312"/>
                <w:color w:val="auto"/>
                <w:sz w:val="24"/>
                <w:szCs w:val="24"/>
              </w:rPr>
            </w:pPr>
          </w:p>
        </w:tc>
        <w:tc>
          <w:tcPr>
            <w:tcW w:w="1016" w:type="dxa"/>
            <w:vAlign w:val="center"/>
          </w:tcPr>
          <w:p>
            <w:pPr>
              <w:bidi w:val="0"/>
              <w:jc w:val="center"/>
              <w:rPr>
                <w:rFonts w:hint="eastAsia"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2417" w:type="dxa"/>
            <w:vAlign w:val="center"/>
          </w:tcPr>
          <w:p>
            <w:pPr>
              <w:bidi w:val="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大窑村委会</w:t>
            </w:r>
          </w:p>
        </w:tc>
        <w:tc>
          <w:tcPr>
            <w:tcW w:w="1211" w:type="dxa"/>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726" w:type="dxa"/>
            <w:vAlign w:val="center"/>
          </w:tcPr>
          <w:p>
            <w:pPr>
              <w:bidi w:val="0"/>
              <w:jc w:val="center"/>
              <w:rPr>
                <w:rFonts w:hint="eastAsia" w:ascii="仿宋_GB2312" w:hAnsi="仿宋_GB2312" w:eastAsia="仿宋_GB2312" w:cs="仿宋_GB2312"/>
                <w:color w:val="auto"/>
                <w:sz w:val="24"/>
                <w:szCs w:val="24"/>
              </w:rPr>
            </w:pPr>
          </w:p>
        </w:tc>
        <w:tc>
          <w:tcPr>
            <w:tcW w:w="1022" w:type="dxa"/>
            <w:vAlign w:val="center"/>
          </w:tcPr>
          <w:p>
            <w:pPr>
              <w:bidi w:val="0"/>
              <w:jc w:val="center"/>
              <w:rPr>
                <w:rFonts w:hint="eastAsia" w:ascii="仿宋_GB2312" w:hAnsi="仿宋_GB2312" w:eastAsia="仿宋_GB2312" w:cs="仿宋_GB2312"/>
                <w:color w:val="auto"/>
                <w:sz w:val="24"/>
                <w:szCs w:val="24"/>
              </w:rPr>
            </w:pPr>
          </w:p>
        </w:tc>
        <w:tc>
          <w:tcPr>
            <w:tcW w:w="949" w:type="dxa"/>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p>
        </w:tc>
        <w:tc>
          <w:tcPr>
            <w:tcW w:w="950" w:type="dxa"/>
            <w:vAlign w:val="center"/>
          </w:tcPr>
          <w:p>
            <w:pPr>
              <w:bidi w:val="0"/>
              <w:jc w:val="center"/>
              <w:rPr>
                <w:rFonts w:hint="eastAsia" w:ascii="仿宋_GB2312" w:hAnsi="仿宋_GB2312" w:eastAsia="仿宋_GB2312" w:cs="仿宋_GB2312"/>
                <w:color w:val="auto"/>
                <w:sz w:val="24"/>
                <w:szCs w:val="24"/>
              </w:rPr>
            </w:pPr>
          </w:p>
        </w:tc>
        <w:tc>
          <w:tcPr>
            <w:tcW w:w="1016" w:type="dxa"/>
            <w:vAlign w:val="center"/>
          </w:tcPr>
          <w:p>
            <w:pPr>
              <w:bidi w:val="0"/>
              <w:jc w:val="center"/>
              <w:rPr>
                <w:rFonts w:hint="eastAsia"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jc w:val="center"/>
        </w:trPr>
        <w:tc>
          <w:tcPr>
            <w:tcW w:w="2417" w:type="dxa"/>
            <w:vAlign w:val="center"/>
          </w:tcPr>
          <w:p>
            <w:pPr>
              <w:bidi w:val="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面铺窑村委会</w:t>
            </w:r>
          </w:p>
        </w:tc>
        <w:tc>
          <w:tcPr>
            <w:tcW w:w="1211" w:type="dxa"/>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26" w:type="dxa"/>
            <w:vAlign w:val="center"/>
          </w:tcPr>
          <w:p>
            <w:pPr>
              <w:bidi w:val="0"/>
              <w:jc w:val="center"/>
              <w:rPr>
                <w:rFonts w:hint="eastAsia" w:ascii="仿宋_GB2312" w:hAnsi="仿宋_GB2312" w:eastAsia="仿宋_GB2312" w:cs="仿宋_GB2312"/>
                <w:color w:val="auto"/>
                <w:sz w:val="24"/>
                <w:szCs w:val="24"/>
              </w:rPr>
            </w:pPr>
          </w:p>
        </w:tc>
        <w:tc>
          <w:tcPr>
            <w:tcW w:w="1022" w:type="dxa"/>
            <w:vAlign w:val="center"/>
          </w:tcPr>
          <w:p>
            <w:pPr>
              <w:bidi w:val="0"/>
              <w:jc w:val="center"/>
              <w:rPr>
                <w:rFonts w:hint="eastAsia" w:ascii="仿宋_GB2312" w:hAnsi="仿宋_GB2312" w:eastAsia="仿宋_GB2312" w:cs="仿宋_GB2312"/>
                <w:color w:val="auto"/>
                <w:sz w:val="24"/>
                <w:szCs w:val="24"/>
              </w:rPr>
            </w:pPr>
          </w:p>
        </w:tc>
        <w:tc>
          <w:tcPr>
            <w:tcW w:w="949" w:type="dxa"/>
            <w:vAlign w:val="center"/>
          </w:tcPr>
          <w:p>
            <w:pPr>
              <w:bidi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p>
        </w:tc>
        <w:tc>
          <w:tcPr>
            <w:tcW w:w="950" w:type="dxa"/>
            <w:vAlign w:val="center"/>
          </w:tcPr>
          <w:p>
            <w:pPr>
              <w:bidi w:val="0"/>
              <w:jc w:val="center"/>
              <w:rPr>
                <w:rFonts w:hint="eastAsia" w:ascii="仿宋_GB2312" w:hAnsi="仿宋_GB2312" w:eastAsia="仿宋_GB2312" w:cs="仿宋_GB2312"/>
                <w:color w:val="auto"/>
                <w:sz w:val="24"/>
                <w:szCs w:val="24"/>
              </w:rPr>
            </w:pPr>
          </w:p>
        </w:tc>
        <w:tc>
          <w:tcPr>
            <w:tcW w:w="1016" w:type="dxa"/>
            <w:vAlign w:val="center"/>
          </w:tcPr>
          <w:p>
            <w:pPr>
              <w:bidi w:val="0"/>
              <w:jc w:val="center"/>
              <w:rPr>
                <w:rFonts w:hint="eastAsia" w:ascii="仿宋_GB2312" w:hAnsi="仿宋_GB2312" w:eastAsia="仿宋_GB2312" w:cs="仿宋_GB2312"/>
                <w:color w:val="auto"/>
                <w:sz w:val="24"/>
                <w:szCs w:val="24"/>
              </w:rPr>
            </w:pPr>
          </w:p>
        </w:tc>
      </w:tr>
    </w:tbl>
    <w:p>
      <w:pPr>
        <w:rPr>
          <w:rFonts w:ascii="Arial"/>
          <w:color w:val="auto"/>
          <w:sz w:val="21"/>
        </w:rPr>
      </w:pPr>
    </w:p>
    <w:p>
      <w:pPr>
        <w:rPr>
          <w:rFonts w:hint="eastAsia" w:ascii="黑体" w:hAnsi="黑体" w:eastAsia="黑体" w:cs="黑体"/>
          <w:color w:val="auto"/>
          <w:sz w:val="32"/>
          <w:szCs w:val="32"/>
        </w:rPr>
      </w:pPr>
      <w:r>
        <w:rPr>
          <w:rFonts w:hint="eastAsia" w:ascii="黑体" w:hAnsi="黑体" w:eastAsia="黑体" w:cs="黑体"/>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成办库房现有应急物资登记表</w:t>
      </w:r>
    </w:p>
    <w:p>
      <w:pPr>
        <w:spacing w:line="127" w:lineRule="auto"/>
        <w:rPr>
          <w:rFonts w:ascii="Arial"/>
          <w:color w:val="auto"/>
          <w:sz w:val="2"/>
        </w:rPr>
      </w:pPr>
    </w:p>
    <w:tbl>
      <w:tblPr>
        <w:tblStyle w:val="2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6"/>
        <w:gridCol w:w="2675"/>
        <w:gridCol w:w="1863"/>
        <w:gridCol w:w="1775"/>
        <w:gridCol w:w="14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776" w:type="dxa"/>
            <w:vAlign w:val="center"/>
          </w:tcPr>
          <w:p>
            <w:pPr>
              <w:bidi w:val="0"/>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序号</w:t>
            </w:r>
          </w:p>
        </w:tc>
        <w:tc>
          <w:tcPr>
            <w:tcW w:w="2675" w:type="dxa"/>
            <w:vAlign w:val="center"/>
          </w:tcPr>
          <w:p>
            <w:pPr>
              <w:bidi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应急物资名称</w:t>
            </w:r>
          </w:p>
        </w:tc>
        <w:tc>
          <w:tcPr>
            <w:tcW w:w="1863" w:type="dxa"/>
            <w:vAlign w:val="center"/>
          </w:tcPr>
          <w:p>
            <w:pPr>
              <w:bidi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现库存数量</w:t>
            </w:r>
          </w:p>
        </w:tc>
        <w:tc>
          <w:tcPr>
            <w:tcW w:w="1775" w:type="dxa"/>
            <w:vAlign w:val="center"/>
          </w:tcPr>
          <w:p>
            <w:pPr>
              <w:bidi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负责人</w:t>
            </w:r>
          </w:p>
        </w:tc>
        <w:tc>
          <w:tcPr>
            <w:tcW w:w="1437" w:type="dxa"/>
            <w:vAlign w:val="center"/>
          </w:tcPr>
          <w:p>
            <w:pPr>
              <w:bidi w:val="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联系方式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76" w:type="dxa"/>
            <w:vAlign w:val="top"/>
          </w:tcPr>
          <w:p>
            <w:pPr>
              <w:spacing w:before="91" w:line="181"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2675" w:type="dxa"/>
            <w:vAlign w:val="top"/>
          </w:tcPr>
          <w:p>
            <w:pPr>
              <w:spacing w:before="91" w:line="224"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3"/>
                <w:sz w:val="24"/>
                <w:szCs w:val="24"/>
              </w:rPr>
              <w:t>镐</w:t>
            </w:r>
            <w:r>
              <w:rPr>
                <w:rFonts w:hint="eastAsia" w:ascii="仿宋_GB2312" w:hAnsi="仿宋_GB2312" w:eastAsia="仿宋_GB2312" w:cs="仿宋_GB2312"/>
                <w:color w:val="auto"/>
                <w:spacing w:val="-11"/>
                <w:sz w:val="24"/>
                <w:szCs w:val="24"/>
              </w:rPr>
              <w:t>头</w:t>
            </w:r>
          </w:p>
        </w:tc>
        <w:tc>
          <w:tcPr>
            <w:tcW w:w="1863" w:type="dxa"/>
            <w:vAlign w:val="top"/>
          </w:tcPr>
          <w:p>
            <w:pPr>
              <w:spacing w:before="91" w:line="224" w:lineRule="auto"/>
              <w:ind w:firstLine="546" w:firstLineChars="30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9"/>
                <w:sz w:val="24"/>
                <w:szCs w:val="24"/>
              </w:rPr>
              <w:t>1</w:t>
            </w:r>
            <w:r>
              <w:rPr>
                <w:rFonts w:hint="eastAsia" w:ascii="仿宋_GB2312" w:hAnsi="仿宋_GB2312" w:eastAsia="仿宋_GB2312" w:cs="仿宋_GB2312"/>
                <w:color w:val="auto"/>
                <w:spacing w:val="-27"/>
                <w:sz w:val="24"/>
                <w:szCs w:val="24"/>
              </w:rPr>
              <w:t>个</w:t>
            </w:r>
          </w:p>
        </w:tc>
        <w:tc>
          <w:tcPr>
            <w:tcW w:w="1775" w:type="dxa"/>
            <w:vMerge w:val="restart"/>
            <w:vAlign w:val="center"/>
          </w:tcPr>
          <w:p>
            <w:pPr>
              <w:spacing w:before="172" w:line="624" w:lineRule="exact"/>
              <w:ind w:left="196"/>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平安建设办</w:t>
            </w:r>
          </w:p>
        </w:tc>
        <w:tc>
          <w:tcPr>
            <w:tcW w:w="1437" w:type="dxa"/>
            <w:vMerge w:val="restart"/>
            <w:vAlign w:val="center"/>
          </w:tcPr>
          <w:p>
            <w:pPr>
              <w:spacing w:before="91" w:line="181"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6115</w:t>
            </w:r>
            <w:r>
              <w:rPr>
                <w:rFonts w:hint="eastAsia" w:ascii="仿宋_GB2312" w:hAnsi="仿宋_GB2312" w:eastAsia="仿宋_GB2312" w:cs="仿宋_GB2312"/>
                <w:color w:val="auto"/>
                <w:spacing w:val="-1"/>
                <w:sz w:val="24"/>
                <w:szCs w:val="24"/>
              </w:rPr>
              <w:t>381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76" w:type="dxa"/>
            <w:vAlign w:val="top"/>
          </w:tcPr>
          <w:p>
            <w:pPr>
              <w:spacing w:before="221" w:line="181" w:lineRule="auto"/>
              <w:ind w:left="32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2675" w:type="dxa"/>
            <w:vAlign w:val="top"/>
          </w:tcPr>
          <w:p>
            <w:pPr>
              <w:spacing w:before="173" w:line="224" w:lineRule="auto"/>
              <w:ind w:left="129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9"/>
                <w:sz w:val="24"/>
                <w:szCs w:val="24"/>
              </w:rPr>
              <w:t>锹</w:t>
            </w:r>
            <w:r>
              <w:rPr>
                <w:rFonts w:hint="eastAsia" w:ascii="仿宋_GB2312" w:hAnsi="仿宋_GB2312" w:eastAsia="仿宋_GB2312" w:cs="仿宋_GB2312"/>
                <w:color w:val="auto"/>
                <w:spacing w:val="-8"/>
                <w:sz w:val="24"/>
                <w:szCs w:val="24"/>
              </w:rPr>
              <w:t>头</w:t>
            </w:r>
          </w:p>
        </w:tc>
        <w:tc>
          <w:tcPr>
            <w:tcW w:w="1863" w:type="dxa"/>
            <w:vAlign w:val="top"/>
          </w:tcPr>
          <w:p>
            <w:pPr>
              <w:spacing w:before="172" w:line="224" w:lineRule="auto"/>
              <w:ind w:left="118" w:firstLine="186" w:firstLineChars="10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7"/>
                <w:sz w:val="24"/>
                <w:szCs w:val="24"/>
              </w:rPr>
              <w:t>6袋</w:t>
            </w:r>
            <w:r>
              <w:rPr>
                <w:rFonts w:hint="eastAsia" w:ascii="仿宋_GB2312" w:hAnsi="仿宋_GB2312" w:eastAsia="仿宋_GB2312" w:cs="仿宋_GB2312"/>
                <w:color w:val="auto"/>
                <w:spacing w:val="-27"/>
                <w:sz w:val="24"/>
                <w:szCs w:val="24"/>
                <w:lang w:val="en-US" w:eastAsia="zh-CN"/>
              </w:rPr>
              <w:t>*</w:t>
            </w:r>
            <w:r>
              <w:rPr>
                <w:rFonts w:hint="eastAsia" w:ascii="仿宋_GB2312" w:hAnsi="仿宋_GB2312" w:eastAsia="仿宋_GB2312" w:cs="仿宋_GB2312"/>
                <w:color w:val="auto"/>
                <w:spacing w:val="-27"/>
                <w:sz w:val="24"/>
                <w:szCs w:val="24"/>
              </w:rPr>
              <w:t>12个</w:t>
            </w:r>
          </w:p>
        </w:tc>
        <w:tc>
          <w:tcPr>
            <w:tcW w:w="1775" w:type="dxa"/>
            <w:vMerge w:val="continue"/>
            <w:vAlign w:val="top"/>
          </w:tcPr>
          <w:p>
            <w:pPr>
              <w:rPr>
                <w:rFonts w:hint="eastAsia" w:ascii="仿宋_GB2312" w:hAnsi="仿宋_GB2312" w:eastAsia="仿宋_GB2312" w:cs="仿宋_GB2312"/>
                <w:color w:val="auto"/>
                <w:sz w:val="24"/>
                <w:szCs w:val="24"/>
              </w:rPr>
            </w:pPr>
          </w:p>
        </w:tc>
        <w:tc>
          <w:tcPr>
            <w:tcW w:w="1437" w:type="dxa"/>
            <w:vMerge w:val="continue"/>
            <w:vAlign w:val="top"/>
          </w:tcPr>
          <w:p>
            <w:pPr>
              <w:rPr>
                <w:rFonts w:hint="eastAsia"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76" w:type="dxa"/>
            <w:vAlign w:val="top"/>
          </w:tcPr>
          <w:p>
            <w:pPr>
              <w:spacing w:before="220" w:line="181" w:lineRule="auto"/>
              <w:ind w:left="33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2675" w:type="dxa"/>
            <w:vAlign w:val="top"/>
          </w:tcPr>
          <w:p>
            <w:pPr>
              <w:spacing w:before="173" w:line="225" w:lineRule="auto"/>
              <w:ind w:left="130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3"/>
                <w:sz w:val="24"/>
                <w:szCs w:val="24"/>
              </w:rPr>
              <w:t>镐</w:t>
            </w:r>
            <w:r>
              <w:rPr>
                <w:rFonts w:hint="eastAsia" w:ascii="仿宋_GB2312" w:hAnsi="仿宋_GB2312" w:eastAsia="仿宋_GB2312" w:cs="仿宋_GB2312"/>
                <w:color w:val="auto"/>
                <w:spacing w:val="-11"/>
                <w:sz w:val="24"/>
                <w:szCs w:val="24"/>
              </w:rPr>
              <w:t>把</w:t>
            </w:r>
          </w:p>
        </w:tc>
        <w:tc>
          <w:tcPr>
            <w:tcW w:w="1863" w:type="dxa"/>
            <w:vAlign w:val="top"/>
          </w:tcPr>
          <w:p>
            <w:pPr>
              <w:spacing w:before="172" w:line="222" w:lineRule="auto"/>
              <w:ind w:left="396"/>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9"/>
                <w:sz w:val="24"/>
                <w:szCs w:val="24"/>
              </w:rPr>
              <w:t>1</w:t>
            </w:r>
            <w:r>
              <w:rPr>
                <w:rFonts w:hint="eastAsia" w:ascii="仿宋_GB2312" w:hAnsi="仿宋_GB2312" w:eastAsia="仿宋_GB2312" w:cs="仿宋_GB2312"/>
                <w:color w:val="auto"/>
                <w:spacing w:val="-15"/>
                <w:sz w:val="24"/>
                <w:szCs w:val="24"/>
              </w:rPr>
              <w:t>00根</w:t>
            </w:r>
          </w:p>
        </w:tc>
        <w:tc>
          <w:tcPr>
            <w:tcW w:w="1775" w:type="dxa"/>
            <w:vMerge w:val="continue"/>
            <w:vAlign w:val="top"/>
          </w:tcPr>
          <w:p>
            <w:pPr>
              <w:rPr>
                <w:rFonts w:hint="eastAsia" w:ascii="仿宋_GB2312" w:hAnsi="仿宋_GB2312" w:eastAsia="仿宋_GB2312" w:cs="仿宋_GB2312"/>
                <w:color w:val="auto"/>
                <w:sz w:val="24"/>
                <w:szCs w:val="24"/>
              </w:rPr>
            </w:pPr>
          </w:p>
        </w:tc>
        <w:tc>
          <w:tcPr>
            <w:tcW w:w="1437" w:type="dxa"/>
            <w:vMerge w:val="continue"/>
            <w:vAlign w:val="top"/>
          </w:tcPr>
          <w:p>
            <w:pPr>
              <w:rPr>
                <w:rFonts w:hint="eastAsia"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76" w:type="dxa"/>
            <w:vAlign w:val="top"/>
          </w:tcPr>
          <w:p>
            <w:pPr>
              <w:spacing w:before="220" w:line="181" w:lineRule="auto"/>
              <w:ind w:left="325"/>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2675" w:type="dxa"/>
            <w:vAlign w:val="top"/>
          </w:tcPr>
          <w:p>
            <w:pPr>
              <w:spacing w:before="172" w:line="223" w:lineRule="auto"/>
              <w:ind w:left="1298"/>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风</w:t>
            </w:r>
            <w:r>
              <w:rPr>
                <w:rFonts w:hint="eastAsia" w:ascii="仿宋_GB2312" w:hAnsi="仿宋_GB2312" w:eastAsia="仿宋_GB2312" w:cs="仿宋_GB2312"/>
                <w:color w:val="auto"/>
                <w:spacing w:val="-9"/>
                <w:sz w:val="24"/>
                <w:szCs w:val="24"/>
              </w:rPr>
              <w:t>机</w:t>
            </w:r>
          </w:p>
        </w:tc>
        <w:tc>
          <w:tcPr>
            <w:tcW w:w="1863" w:type="dxa"/>
            <w:vAlign w:val="top"/>
          </w:tcPr>
          <w:p>
            <w:pPr>
              <w:spacing w:before="171" w:line="224" w:lineRule="auto"/>
              <w:ind w:left="51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2"/>
                <w:sz w:val="24"/>
                <w:szCs w:val="24"/>
              </w:rPr>
              <w:t>6</w:t>
            </w:r>
            <w:r>
              <w:rPr>
                <w:rFonts w:hint="eastAsia" w:ascii="仿宋_GB2312" w:hAnsi="仿宋_GB2312" w:eastAsia="仿宋_GB2312" w:cs="仿宋_GB2312"/>
                <w:color w:val="auto"/>
                <w:spacing w:val="-21"/>
                <w:sz w:val="24"/>
                <w:szCs w:val="24"/>
              </w:rPr>
              <w:t>个</w:t>
            </w:r>
          </w:p>
        </w:tc>
        <w:tc>
          <w:tcPr>
            <w:tcW w:w="1775" w:type="dxa"/>
            <w:vMerge w:val="continue"/>
            <w:vAlign w:val="top"/>
          </w:tcPr>
          <w:p>
            <w:pPr>
              <w:rPr>
                <w:rFonts w:hint="eastAsia" w:ascii="仿宋_GB2312" w:hAnsi="仿宋_GB2312" w:eastAsia="仿宋_GB2312" w:cs="仿宋_GB2312"/>
                <w:color w:val="auto"/>
                <w:sz w:val="24"/>
                <w:szCs w:val="24"/>
              </w:rPr>
            </w:pPr>
          </w:p>
        </w:tc>
        <w:tc>
          <w:tcPr>
            <w:tcW w:w="1437" w:type="dxa"/>
            <w:vMerge w:val="continue"/>
            <w:vAlign w:val="top"/>
          </w:tcPr>
          <w:p>
            <w:pPr>
              <w:rPr>
                <w:rFonts w:hint="eastAsia"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76" w:type="dxa"/>
            <w:vAlign w:val="top"/>
          </w:tcPr>
          <w:p>
            <w:pPr>
              <w:spacing w:before="226" w:line="179" w:lineRule="auto"/>
              <w:ind w:left="33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2675" w:type="dxa"/>
            <w:vAlign w:val="top"/>
          </w:tcPr>
          <w:p>
            <w:pPr>
              <w:spacing w:before="176" w:line="224" w:lineRule="auto"/>
              <w:ind w:left="104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9"/>
                <w:sz w:val="24"/>
                <w:szCs w:val="24"/>
              </w:rPr>
              <w:t>2</w:t>
            </w:r>
            <w:r>
              <w:rPr>
                <w:rFonts w:hint="eastAsia" w:ascii="仿宋_GB2312" w:hAnsi="仿宋_GB2312" w:eastAsia="仿宋_GB2312" w:cs="仿宋_GB2312"/>
                <w:color w:val="auto"/>
                <w:spacing w:val="-16"/>
                <w:sz w:val="24"/>
                <w:szCs w:val="24"/>
              </w:rPr>
              <w:t>号工具</w:t>
            </w:r>
          </w:p>
        </w:tc>
        <w:tc>
          <w:tcPr>
            <w:tcW w:w="1863" w:type="dxa"/>
            <w:vAlign w:val="top"/>
          </w:tcPr>
          <w:p>
            <w:pPr>
              <w:spacing w:before="174" w:line="224" w:lineRule="auto"/>
              <w:ind w:left="468"/>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3"/>
                <w:sz w:val="24"/>
                <w:szCs w:val="24"/>
              </w:rPr>
              <w:t>1</w:t>
            </w:r>
            <w:r>
              <w:rPr>
                <w:rFonts w:hint="eastAsia" w:ascii="仿宋_GB2312" w:hAnsi="仿宋_GB2312" w:eastAsia="仿宋_GB2312" w:cs="仿宋_GB2312"/>
                <w:color w:val="auto"/>
                <w:spacing w:val="-20"/>
                <w:sz w:val="24"/>
                <w:szCs w:val="24"/>
              </w:rPr>
              <w:t>3个</w:t>
            </w:r>
          </w:p>
        </w:tc>
        <w:tc>
          <w:tcPr>
            <w:tcW w:w="1775" w:type="dxa"/>
            <w:vMerge w:val="continue"/>
            <w:vAlign w:val="top"/>
          </w:tcPr>
          <w:p>
            <w:pPr>
              <w:rPr>
                <w:rFonts w:hint="eastAsia" w:ascii="仿宋_GB2312" w:hAnsi="仿宋_GB2312" w:eastAsia="仿宋_GB2312" w:cs="仿宋_GB2312"/>
                <w:color w:val="auto"/>
                <w:sz w:val="24"/>
                <w:szCs w:val="24"/>
              </w:rPr>
            </w:pPr>
          </w:p>
        </w:tc>
        <w:tc>
          <w:tcPr>
            <w:tcW w:w="1437" w:type="dxa"/>
            <w:vMerge w:val="continue"/>
            <w:vAlign w:val="top"/>
          </w:tcPr>
          <w:p>
            <w:pPr>
              <w:rPr>
                <w:rFonts w:hint="eastAsia"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76" w:type="dxa"/>
            <w:vAlign w:val="top"/>
          </w:tcPr>
          <w:p>
            <w:pPr>
              <w:spacing w:before="223" w:line="181" w:lineRule="auto"/>
              <w:ind w:left="328"/>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2675" w:type="dxa"/>
            <w:vAlign w:val="top"/>
          </w:tcPr>
          <w:p>
            <w:pPr>
              <w:spacing w:before="174" w:line="224" w:lineRule="auto"/>
              <w:ind w:left="1295"/>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水泵</w:t>
            </w:r>
          </w:p>
        </w:tc>
        <w:tc>
          <w:tcPr>
            <w:tcW w:w="1863" w:type="dxa"/>
            <w:vAlign w:val="top"/>
          </w:tcPr>
          <w:p>
            <w:pPr>
              <w:spacing w:before="174" w:line="222" w:lineRule="auto"/>
              <w:ind w:left="5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4"/>
                <w:sz w:val="24"/>
                <w:szCs w:val="24"/>
              </w:rPr>
              <w:t>2</w:t>
            </w:r>
            <w:r>
              <w:rPr>
                <w:rFonts w:hint="eastAsia" w:ascii="仿宋_GB2312" w:hAnsi="仿宋_GB2312" w:eastAsia="仿宋_GB2312" w:cs="仿宋_GB2312"/>
                <w:color w:val="auto"/>
                <w:spacing w:val="-13"/>
                <w:sz w:val="24"/>
                <w:szCs w:val="24"/>
              </w:rPr>
              <w:t>台</w:t>
            </w:r>
          </w:p>
        </w:tc>
        <w:tc>
          <w:tcPr>
            <w:tcW w:w="1775" w:type="dxa"/>
            <w:vMerge w:val="continue"/>
            <w:vAlign w:val="top"/>
          </w:tcPr>
          <w:p>
            <w:pPr>
              <w:rPr>
                <w:rFonts w:hint="eastAsia" w:ascii="仿宋_GB2312" w:hAnsi="仿宋_GB2312" w:eastAsia="仿宋_GB2312" w:cs="仿宋_GB2312"/>
                <w:color w:val="auto"/>
                <w:sz w:val="24"/>
                <w:szCs w:val="24"/>
              </w:rPr>
            </w:pPr>
          </w:p>
        </w:tc>
        <w:tc>
          <w:tcPr>
            <w:tcW w:w="1437" w:type="dxa"/>
            <w:vMerge w:val="continue"/>
            <w:vAlign w:val="top"/>
          </w:tcPr>
          <w:p>
            <w:pPr>
              <w:rPr>
                <w:rFonts w:hint="eastAsia"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76" w:type="dxa"/>
            <w:vAlign w:val="top"/>
          </w:tcPr>
          <w:p>
            <w:pPr>
              <w:spacing w:before="225" w:line="179" w:lineRule="auto"/>
              <w:ind w:left="33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2675" w:type="dxa"/>
            <w:vAlign w:val="top"/>
          </w:tcPr>
          <w:p>
            <w:pPr>
              <w:spacing w:before="175" w:line="224" w:lineRule="auto"/>
              <w:ind w:left="13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铁</w:t>
            </w:r>
            <w:r>
              <w:rPr>
                <w:rFonts w:hint="eastAsia" w:ascii="仿宋_GB2312" w:hAnsi="仿宋_GB2312" w:eastAsia="仿宋_GB2312" w:cs="仿宋_GB2312"/>
                <w:color w:val="auto"/>
                <w:spacing w:val="-10"/>
                <w:sz w:val="24"/>
                <w:szCs w:val="24"/>
              </w:rPr>
              <w:t>丝</w:t>
            </w:r>
          </w:p>
        </w:tc>
        <w:tc>
          <w:tcPr>
            <w:tcW w:w="1863" w:type="dxa"/>
            <w:vAlign w:val="top"/>
          </w:tcPr>
          <w:p>
            <w:pPr>
              <w:spacing w:before="174" w:line="224" w:lineRule="auto"/>
              <w:ind w:left="52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4"/>
                <w:sz w:val="24"/>
                <w:szCs w:val="24"/>
              </w:rPr>
              <w:t>3</w:t>
            </w:r>
            <w:r>
              <w:rPr>
                <w:rFonts w:hint="eastAsia" w:ascii="仿宋_GB2312" w:hAnsi="仿宋_GB2312" w:eastAsia="仿宋_GB2312" w:cs="仿宋_GB2312"/>
                <w:color w:val="auto"/>
                <w:spacing w:val="-12"/>
                <w:sz w:val="24"/>
                <w:szCs w:val="24"/>
              </w:rPr>
              <w:t>圈</w:t>
            </w:r>
          </w:p>
        </w:tc>
        <w:tc>
          <w:tcPr>
            <w:tcW w:w="1775" w:type="dxa"/>
            <w:vMerge w:val="continue"/>
            <w:vAlign w:val="top"/>
          </w:tcPr>
          <w:p>
            <w:pPr>
              <w:rPr>
                <w:rFonts w:hint="eastAsia" w:ascii="仿宋_GB2312" w:hAnsi="仿宋_GB2312" w:eastAsia="仿宋_GB2312" w:cs="仿宋_GB2312"/>
                <w:color w:val="auto"/>
                <w:sz w:val="24"/>
                <w:szCs w:val="24"/>
              </w:rPr>
            </w:pPr>
          </w:p>
        </w:tc>
        <w:tc>
          <w:tcPr>
            <w:tcW w:w="1437" w:type="dxa"/>
            <w:vMerge w:val="continue"/>
            <w:vAlign w:val="top"/>
          </w:tcPr>
          <w:p>
            <w:pPr>
              <w:rPr>
                <w:rFonts w:hint="eastAsia"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76" w:type="dxa"/>
            <w:vAlign w:val="top"/>
          </w:tcPr>
          <w:p>
            <w:pPr>
              <w:spacing w:before="223" w:line="181" w:lineRule="auto"/>
              <w:ind w:left="327"/>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2675" w:type="dxa"/>
            <w:vAlign w:val="top"/>
          </w:tcPr>
          <w:p>
            <w:pPr>
              <w:spacing w:before="175" w:line="224" w:lineRule="auto"/>
              <w:ind w:left="115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5"/>
                <w:sz w:val="24"/>
                <w:szCs w:val="24"/>
              </w:rPr>
              <w:t>救援绳</w:t>
            </w:r>
          </w:p>
        </w:tc>
        <w:tc>
          <w:tcPr>
            <w:tcW w:w="1863" w:type="dxa"/>
            <w:vAlign w:val="top"/>
          </w:tcPr>
          <w:p>
            <w:pPr>
              <w:spacing w:before="175" w:line="225" w:lineRule="auto"/>
              <w:ind w:left="515"/>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1"/>
                <w:sz w:val="24"/>
                <w:szCs w:val="24"/>
              </w:rPr>
              <w:t>4</w:t>
            </w:r>
            <w:r>
              <w:rPr>
                <w:rFonts w:hint="eastAsia" w:ascii="仿宋_GB2312" w:hAnsi="仿宋_GB2312" w:eastAsia="仿宋_GB2312" w:cs="仿宋_GB2312"/>
                <w:color w:val="auto"/>
                <w:spacing w:val="-20"/>
                <w:sz w:val="24"/>
                <w:szCs w:val="24"/>
              </w:rPr>
              <w:t>捆</w:t>
            </w:r>
          </w:p>
        </w:tc>
        <w:tc>
          <w:tcPr>
            <w:tcW w:w="1775" w:type="dxa"/>
            <w:vMerge w:val="continue"/>
            <w:vAlign w:val="top"/>
          </w:tcPr>
          <w:p>
            <w:pPr>
              <w:rPr>
                <w:rFonts w:hint="eastAsia" w:ascii="仿宋_GB2312" w:hAnsi="仿宋_GB2312" w:eastAsia="仿宋_GB2312" w:cs="仿宋_GB2312"/>
                <w:color w:val="auto"/>
                <w:sz w:val="24"/>
                <w:szCs w:val="24"/>
              </w:rPr>
            </w:pPr>
          </w:p>
        </w:tc>
        <w:tc>
          <w:tcPr>
            <w:tcW w:w="1437" w:type="dxa"/>
            <w:vMerge w:val="continue"/>
            <w:vAlign w:val="top"/>
          </w:tcPr>
          <w:p>
            <w:pPr>
              <w:rPr>
                <w:rFonts w:hint="eastAsia"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76" w:type="dxa"/>
            <w:vAlign w:val="top"/>
          </w:tcPr>
          <w:p>
            <w:pPr>
              <w:spacing w:before="222" w:line="181" w:lineRule="auto"/>
              <w:ind w:left="327"/>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2675" w:type="dxa"/>
            <w:vAlign w:val="top"/>
          </w:tcPr>
          <w:p>
            <w:pPr>
              <w:spacing w:before="175" w:line="224" w:lineRule="auto"/>
              <w:ind w:left="103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2"/>
                <w:sz w:val="24"/>
                <w:szCs w:val="24"/>
              </w:rPr>
              <w:t>PVC</w:t>
            </w:r>
            <w:r>
              <w:rPr>
                <w:rFonts w:hint="eastAsia" w:ascii="仿宋_GB2312" w:hAnsi="仿宋_GB2312" w:eastAsia="仿宋_GB2312" w:cs="仿宋_GB2312"/>
                <w:color w:val="auto"/>
                <w:spacing w:val="-15"/>
                <w:sz w:val="24"/>
                <w:szCs w:val="24"/>
              </w:rPr>
              <w:t xml:space="preserve"> </w:t>
            </w:r>
            <w:r>
              <w:rPr>
                <w:rFonts w:hint="eastAsia" w:ascii="仿宋_GB2312" w:hAnsi="仿宋_GB2312" w:eastAsia="仿宋_GB2312" w:cs="仿宋_GB2312"/>
                <w:color w:val="auto"/>
                <w:spacing w:val="-12"/>
                <w:sz w:val="24"/>
                <w:szCs w:val="24"/>
              </w:rPr>
              <w:t>软管</w:t>
            </w:r>
          </w:p>
        </w:tc>
        <w:tc>
          <w:tcPr>
            <w:tcW w:w="1863" w:type="dxa"/>
            <w:vAlign w:val="top"/>
          </w:tcPr>
          <w:p>
            <w:pPr>
              <w:spacing w:before="174" w:line="222" w:lineRule="auto"/>
              <w:ind w:left="5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3"/>
                <w:sz w:val="24"/>
                <w:szCs w:val="24"/>
              </w:rPr>
              <w:t>2</w:t>
            </w:r>
            <w:r>
              <w:rPr>
                <w:rFonts w:hint="eastAsia" w:ascii="仿宋_GB2312" w:hAnsi="仿宋_GB2312" w:eastAsia="仿宋_GB2312" w:cs="仿宋_GB2312"/>
                <w:color w:val="auto"/>
                <w:spacing w:val="-21"/>
                <w:sz w:val="24"/>
                <w:szCs w:val="24"/>
              </w:rPr>
              <w:t>根</w:t>
            </w:r>
          </w:p>
        </w:tc>
        <w:tc>
          <w:tcPr>
            <w:tcW w:w="1775" w:type="dxa"/>
            <w:vMerge w:val="continue"/>
            <w:vAlign w:val="top"/>
          </w:tcPr>
          <w:p>
            <w:pPr>
              <w:rPr>
                <w:rFonts w:hint="eastAsia" w:ascii="仿宋_GB2312" w:hAnsi="仿宋_GB2312" w:eastAsia="仿宋_GB2312" w:cs="仿宋_GB2312"/>
                <w:color w:val="auto"/>
                <w:sz w:val="24"/>
                <w:szCs w:val="24"/>
              </w:rPr>
            </w:pPr>
          </w:p>
        </w:tc>
        <w:tc>
          <w:tcPr>
            <w:tcW w:w="1437" w:type="dxa"/>
            <w:vMerge w:val="continue"/>
            <w:vAlign w:val="top"/>
          </w:tcPr>
          <w:p>
            <w:pPr>
              <w:rPr>
                <w:rFonts w:hint="eastAsia"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76" w:type="dxa"/>
            <w:vAlign w:val="top"/>
          </w:tcPr>
          <w:p>
            <w:pPr>
              <w:spacing w:before="222" w:line="181" w:lineRule="auto"/>
              <w:ind w:left="275"/>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5"/>
                <w:sz w:val="24"/>
                <w:szCs w:val="24"/>
              </w:rPr>
              <w:t>1</w:t>
            </w:r>
            <w:r>
              <w:rPr>
                <w:rFonts w:hint="eastAsia" w:ascii="仿宋_GB2312" w:hAnsi="仿宋_GB2312" w:eastAsia="仿宋_GB2312" w:cs="仿宋_GB2312"/>
                <w:color w:val="auto"/>
                <w:spacing w:val="-14"/>
                <w:sz w:val="24"/>
                <w:szCs w:val="24"/>
              </w:rPr>
              <w:t>0</w:t>
            </w:r>
          </w:p>
        </w:tc>
        <w:tc>
          <w:tcPr>
            <w:tcW w:w="2675" w:type="dxa"/>
            <w:vAlign w:val="top"/>
          </w:tcPr>
          <w:p>
            <w:pPr>
              <w:spacing w:before="174" w:line="221" w:lineRule="auto"/>
              <w:ind w:left="123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7"/>
                <w:sz w:val="24"/>
                <w:szCs w:val="24"/>
              </w:rPr>
              <w:t>消</w:t>
            </w:r>
            <w:r>
              <w:rPr>
                <w:rFonts w:hint="eastAsia" w:ascii="仿宋_GB2312" w:hAnsi="仿宋_GB2312" w:eastAsia="仿宋_GB2312" w:cs="仿宋_GB2312"/>
                <w:color w:val="auto"/>
                <w:spacing w:val="-6"/>
                <w:sz w:val="24"/>
                <w:szCs w:val="24"/>
              </w:rPr>
              <w:t>防水带</w:t>
            </w:r>
          </w:p>
        </w:tc>
        <w:tc>
          <w:tcPr>
            <w:tcW w:w="1863" w:type="dxa"/>
            <w:vAlign w:val="top"/>
          </w:tcPr>
          <w:p>
            <w:pPr>
              <w:spacing w:before="175" w:line="224" w:lineRule="auto"/>
              <w:ind w:left="515"/>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9"/>
                <w:sz w:val="24"/>
                <w:szCs w:val="24"/>
              </w:rPr>
              <w:t>4</w:t>
            </w:r>
            <w:r>
              <w:rPr>
                <w:rFonts w:hint="eastAsia" w:ascii="仿宋_GB2312" w:hAnsi="仿宋_GB2312" w:eastAsia="仿宋_GB2312" w:cs="仿宋_GB2312"/>
                <w:color w:val="auto"/>
                <w:spacing w:val="-18"/>
                <w:sz w:val="24"/>
                <w:szCs w:val="24"/>
              </w:rPr>
              <w:t>袋</w:t>
            </w:r>
          </w:p>
        </w:tc>
        <w:tc>
          <w:tcPr>
            <w:tcW w:w="1775" w:type="dxa"/>
            <w:vMerge w:val="continue"/>
            <w:vAlign w:val="top"/>
          </w:tcPr>
          <w:p>
            <w:pPr>
              <w:rPr>
                <w:rFonts w:hint="eastAsia" w:ascii="仿宋_GB2312" w:hAnsi="仿宋_GB2312" w:eastAsia="仿宋_GB2312" w:cs="仿宋_GB2312"/>
                <w:color w:val="auto"/>
                <w:sz w:val="24"/>
                <w:szCs w:val="24"/>
              </w:rPr>
            </w:pPr>
          </w:p>
        </w:tc>
        <w:tc>
          <w:tcPr>
            <w:tcW w:w="1437" w:type="dxa"/>
            <w:vMerge w:val="continue"/>
            <w:vAlign w:val="top"/>
          </w:tcPr>
          <w:p>
            <w:pPr>
              <w:rPr>
                <w:rFonts w:hint="eastAsia"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76" w:type="dxa"/>
            <w:vAlign w:val="top"/>
          </w:tcPr>
          <w:p>
            <w:pPr>
              <w:spacing w:before="225" w:line="181" w:lineRule="auto"/>
              <w:ind w:left="275"/>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5"/>
                <w:sz w:val="24"/>
                <w:szCs w:val="24"/>
              </w:rPr>
              <w:t>1</w:t>
            </w:r>
            <w:r>
              <w:rPr>
                <w:rFonts w:hint="eastAsia" w:ascii="仿宋_GB2312" w:hAnsi="仿宋_GB2312" w:eastAsia="仿宋_GB2312" w:cs="仿宋_GB2312"/>
                <w:color w:val="auto"/>
                <w:spacing w:val="-14"/>
                <w:sz w:val="24"/>
                <w:szCs w:val="24"/>
              </w:rPr>
              <w:t>1</w:t>
            </w:r>
          </w:p>
        </w:tc>
        <w:tc>
          <w:tcPr>
            <w:tcW w:w="2675" w:type="dxa"/>
            <w:vAlign w:val="top"/>
          </w:tcPr>
          <w:p>
            <w:pPr>
              <w:spacing w:before="176" w:line="224" w:lineRule="auto"/>
              <w:ind w:left="129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9"/>
                <w:sz w:val="24"/>
                <w:szCs w:val="24"/>
              </w:rPr>
              <w:t>雨</w:t>
            </w:r>
            <w:r>
              <w:rPr>
                <w:rFonts w:hint="eastAsia" w:ascii="仿宋_GB2312" w:hAnsi="仿宋_GB2312" w:eastAsia="仿宋_GB2312" w:cs="仿宋_GB2312"/>
                <w:color w:val="auto"/>
                <w:spacing w:val="-8"/>
                <w:sz w:val="24"/>
                <w:szCs w:val="24"/>
              </w:rPr>
              <w:t>鞋</w:t>
            </w:r>
          </w:p>
        </w:tc>
        <w:tc>
          <w:tcPr>
            <w:tcW w:w="1863" w:type="dxa"/>
            <w:vAlign w:val="top"/>
          </w:tcPr>
          <w:p>
            <w:pPr>
              <w:spacing w:before="177" w:line="229" w:lineRule="auto"/>
              <w:ind w:left="468"/>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2"/>
                <w:sz w:val="24"/>
                <w:szCs w:val="24"/>
              </w:rPr>
              <w:t>1</w:t>
            </w:r>
            <w:r>
              <w:rPr>
                <w:rFonts w:hint="eastAsia" w:ascii="仿宋_GB2312" w:hAnsi="仿宋_GB2312" w:eastAsia="仿宋_GB2312" w:cs="仿宋_GB2312"/>
                <w:color w:val="auto"/>
                <w:spacing w:val="-21"/>
                <w:sz w:val="24"/>
                <w:szCs w:val="24"/>
              </w:rPr>
              <w:t>6双</w:t>
            </w:r>
          </w:p>
        </w:tc>
        <w:tc>
          <w:tcPr>
            <w:tcW w:w="1775" w:type="dxa"/>
            <w:vMerge w:val="continue"/>
            <w:vAlign w:val="top"/>
          </w:tcPr>
          <w:p>
            <w:pPr>
              <w:rPr>
                <w:rFonts w:hint="eastAsia" w:ascii="仿宋_GB2312" w:hAnsi="仿宋_GB2312" w:eastAsia="仿宋_GB2312" w:cs="仿宋_GB2312"/>
                <w:color w:val="auto"/>
                <w:sz w:val="24"/>
                <w:szCs w:val="24"/>
              </w:rPr>
            </w:pPr>
          </w:p>
        </w:tc>
        <w:tc>
          <w:tcPr>
            <w:tcW w:w="1437" w:type="dxa"/>
            <w:vMerge w:val="continue"/>
            <w:vAlign w:val="top"/>
          </w:tcPr>
          <w:p>
            <w:pPr>
              <w:rPr>
                <w:rFonts w:hint="eastAsia"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76" w:type="dxa"/>
            <w:vAlign w:val="top"/>
          </w:tcPr>
          <w:p>
            <w:pPr>
              <w:spacing w:before="225" w:line="181" w:lineRule="auto"/>
              <w:ind w:left="275"/>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5"/>
                <w:sz w:val="24"/>
                <w:szCs w:val="24"/>
              </w:rPr>
              <w:t>1</w:t>
            </w:r>
            <w:r>
              <w:rPr>
                <w:rFonts w:hint="eastAsia" w:ascii="仿宋_GB2312" w:hAnsi="仿宋_GB2312" w:eastAsia="仿宋_GB2312" w:cs="仿宋_GB2312"/>
                <w:color w:val="auto"/>
                <w:spacing w:val="-14"/>
                <w:sz w:val="24"/>
                <w:szCs w:val="24"/>
              </w:rPr>
              <w:t>2</w:t>
            </w:r>
          </w:p>
        </w:tc>
        <w:tc>
          <w:tcPr>
            <w:tcW w:w="2675" w:type="dxa"/>
            <w:vAlign w:val="top"/>
          </w:tcPr>
          <w:p>
            <w:pPr>
              <w:spacing w:before="177" w:line="225" w:lineRule="auto"/>
              <w:ind w:left="1296"/>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9"/>
                <w:sz w:val="24"/>
                <w:szCs w:val="24"/>
              </w:rPr>
              <w:t>雨</w:t>
            </w:r>
            <w:r>
              <w:rPr>
                <w:rFonts w:hint="eastAsia" w:ascii="仿宋_GB2312" w:hAnsi="仿宋_GB2312" w:eastAsia="仿宋_GB2312" w:cs="仿宋_GB2312"/>
                <w:color w:val="auto"/>
                <w:spacing w:val="-8"/>
                <w:sz w:val="24"/>
                <w:szCs w:val="24"/>
              </w:rPr>
              <w:t>衣</w:t>
            </w:r>
          </w:p>
        </w:tc>
        <w:tc>
          <w:tcPr>
            <w:tcW w:w="1863" w:type="dxa"/>
            <w:vAlign w:val="top"/>
          </w:tcPr>
          <w:p>
            <w:pPr>
              <w:spacing w:before="176" w:line="223" w:lineRule="auto"/>
              <w:ind w:left="518"/>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2"/>
                <w:sz w:val="24"/>
                <w:szCs w:val="24"/>
              </w:rPr>
              <w:t>8</w:t>
            </w:r>
            <w:r>
              <w:rPr>
                <w:rFonts w:hint="eastAsia" w:ascii="仿宋_GB2312" w:hAnsi="仿宋_GB2312" w:eastAsia="仿宋_GB2312" w:cs="仿宋_GB2312"/>
                <w:color w:val="auto"/>
                <w:spacing w:val="-21"/>
                <w:sz w:val="24"/>
                <w:szCs w:val="24"/>
              </w:rPr>
              <w:t>件</w:t>
            </w:r>
          </w:p>
        </w:tc>
        <w:tc>
          <w:tcPr>
            <w:tcW w:w="1775" w:type="dxa"/>
            <w:vMerge w:val="continue"/>
            <w:vAlign w:val="top"/>
          </w:tcPr>
          <w:p>
            <w:pPr>
              <w:rPr>
                <w:rFonts w:hint="eastAsia" w:ascii="仿宋_GB2312" w:hAnsi="仿宋_GB2312" w:eastAsia="仿宋_GB2312" w:cs="仿宋_GB2312"/>
                <w:color w:val="auto"/>
                <w:sz w:val="24"/>
                <w:szCs w:val="24"/>
              </w:rPr>
            </w:pPr>
          </w:p>
        </w:tc>
        <w:tc>
          <w:tcPr>
            <w:tcW w:w="1437" w:type="dxa"/>
            <w:vMerge w:val="continue"/>
            <w:vAlign w:val="top"/>
          </w:tcPr>
          <w:p>
            <w:pPr>
              <w:rPr>
                <w:rFonts w:hint="eastAsia"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76" w:type="dxa"/>
            <w:vAlign w:val="top"/>
          </w:tcPr>
          <w:p>
            <w:pPr>
              <w:spacing w:before="224" w:line="181" w:lineRule="auto"/>
              <w:ind w:left="275"/>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5"/>
                <w:sz w:val="24"/>
                <w:szCs w:val="24"/>
              </w:rPr>
              <w:t>1</w:t>
            </w:r>
            <w:r>
              <w:rPr>
                <w:rFonts w:hint="eastAsia" w:ascii="仿宋_GB2312" w:hAnsi="仿宋_GB2312" w:eastAsia="仿宋_GB2312" w:cs="仿宋_GB2312"/>
                <w:color w:val="auto"/>
                <w:spacing w:val="-14"/>
                <w:sz w:val="24"/>
                <w:szCs w:val="24"/>
              </w:rPr>
              <w:t>3</w:t>
            </w:r>
          </w:p>
        </w:tc>
        <w:tc>
          <w:tcPr>
            <w:tcW w:w="2675" w:type="dxa"/>
            <w:vAlign w:val="top"/>
          </w:tcPr>
          <w:p>
            <w:pPr>
              <w:spacing w:before="177" w:line="224" w:lineRule="auto"/>
              <w:ind w:left="895"/>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防</w:t>
            </w:r>
            <w:r>
              <w:rPr>
                <w:rFonts w:hint="eastAsia" w:ascii="仿宋_GB2312" w:hAnsi="仿宋_GB2312" w:eastAsia="仿宋_GB2312" w:cs="仿宋_GB2312"/>
                <w:color w:val="auto"/>
                <w:spacing w:val="-7"/>
                <w:sz w:val="24"/>
                <w:szCs w:val="24"/>
              </w:rPr>
              <w:t>洪编织袋</w:t>
            </w:r>
          </w:p>
        </w:tc>
        <w:tc>
          <w:tcPr>
            <w:tcW w:w="1863" w:type="dxa"/>
            <w:vAlign w:val="top"/>
          </w:tcPr>
          <w:p>
            <w:pPr>
              <w:spacing w:before="177" w:line="232" w:lineRule="auto"/>
              <w:ind w:left="518"/>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9"/>
                <w:sz w:val="24"/>
                <w:szCs w:val="24"/>
              </w:rPr>
              <w:t>9</w:t>
            </w:r>
            <w:r>
              <w:rPr>
                <w:rFonts w:hint="eastAsia" w:ascii="仿宋_GB2312" w:hAnsi="仿宋_GB2312" w:eastAsia="仿宋_GB2312" w:cs="仿宋_GB2312"/>
                <w:color w:val="auto"/>
                <w:spacing w:val="-17"/>
                <w:sz w:val="24"/>
                <w:szCs w:val="24"/>
              </w:rPr>
              <w:t>包</w:t>
            </w:r>
          </w:p>
        </w:tc>
        <w:tc>
          <w:tcPr>
            <w:tcW w:w="1775" w:type="dxa"/>
            <w:vMerge w:val="continue"/>
            <w:vAlign w:val="top"/>
          </w:tcPr>
          <w:p>
            <w:pPr>
              <w:rPr>
                <w:rFonts w:hint="eastAsia" w:ascii="仿宋_GB2312" w:hAnsi="仿宋_GB2312" w:eastAsia="仿宋_GB2312" w:cs="仿宋_GB2312"/>
                <w:color w:val="auto"/>
                <w:sz w:val="24"/>
                <w:szCs w:val="24"/>
              </w:rPr>
            </w:pPr>
          </w:p>
        </w:tc>
        <w:tc>
          <w:tcPr>
            <w:tcW w:w="1437" w:type="dxa"/>
            <w:vMerge w:val="continue"/>
            <w:vAlign w:val="top"/>
          </w:tcPr>
          <w:p>
            <w:pPr>
              <w:rPr>
                <w:rFonts w:hint="eastAsia"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76" w:type="dxa"/>
            <w:vAlign w:val="top"/>
          </w:tcPr>
          <w:p>
            <w:pPr>
              <w:spacing w:before="224" w:line="181" w:lineRule="auto"/>
              <w:ind w:left="275"/>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5"/>
                <w:sz w:val="24"/>
                <w:szCs w:val="24"/>
              </w:rPr>
              <w:t>1</w:t>
            </w:r>
            <w:r>
              <w:rPr>
                <w:rFonts w:hint="eastAsia" w:ascii="仿宋_GB2312" w:hAnsi="仿宋_GB2312" w:eastAsia="仿宋_GB2312" w:cs="仿宋_GB2312"/>
                <w:color w:val="auto"/>
                <w:spacing w:val="-14"/>
                <w:sz w:val="24"/>
                <w:szCs w:val="24"/>
              </w:rPr>
              <w:t>4</w:t>
            </w:r>
          </w:p>
        </w:tc>
        <w:tc>
          <w:tcPr>
            <w:tcW w:w="2675" w:type="dxa"/>
            <w:vAlign w:val="top"/>
          </w:tcPr>
          <w:p>
            <w:pPr>
              <w:spacing w:before="175" w:line="224" w:lineRule="auto"/>
              <w:ind w:left="13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手</w:t>
            </w:r>
            <w:r>
              <w:rPr>
                <w:rFonts w:hint="eastAsia" w:ascii="仿宋_GB2312" w:hAnsi="仿宋_GB2312" w:eastAsia="仿宋_GB2312" w:cs="仿宋_GB2312"/>
                <w:color w:val="auto"/>
                <w:spacing w:val="-10"/>
                <w:sz w:val="24"/>
                <w:szCs w:val="24"/>
              </w:rPr>
              <w:t>电</w:t>
            </w:r>
          </w:p>
        </w:tc>
        <w:tc>
          <w:tcPr>
            <w:tcW w:w="1863" w:type="dxa"/>
            <w:vAlign w:val="top"/>
          </w:tcPr>
          <w:p>
            <w:pPr>
              <w:spacing w:before="175" w:line="224" w:lineRule="auto"/>
              <w:ind w:left="518"/>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1"/>
                <w:sz w:val="24"/>
                <w:szCs w:val="24"/>
              </w:rPr>
              <w:t>9个</w:t>
            </w:r>
          </w:p>
        </w:tc>
        <w:tc>
          <w:tcPr>
            <w:tcW w:w="1775" w:type="dxa"/>
            <w:vMerge w:val="continue"/>
            <w:vAlign w:val="top"/>
          </w:tcPr>
          <w:p>
            <w:pPr>
              <w:rPr>
                <w:rFonts w:hint="eastAsia" w:ascii="仿宋_GB2312" w:hAnsi="仿宋_GB2312" w:eastAsia="仿宋_GB2312" w:cs="仿宋_GB2312"/>
                <w:color w:val="auto"/>
                <w:sz w:val="24"/>
                <w:szCs w:val="24"/>
              </w:rPr>
            </w:pPr>
          </w:p>
        </w:tc>
        <w:tc>
          <w:tcPr>
            <w:tcW w:w="1437" w:type="dxa"/>
            <w:vMerge w:val="continue"/>
            <w:vAlign w:val="top"/>
          </w:tcPr>
          <w:p>
            <w:pPr>
              <w:rPr>
                <w:rFonts w:hint="eastAsia"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76" w:type="dxa"/>
            <w:vAlign w:val="top"/>
          </w:tcPr>
          <w:p>
            <w:pPr>
              <w:spacing w:before="223" w:line="181" w:lineRule="auto"/>
              <w:ind w:left="275"/>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5"/>
                <w:sz w:val="24"/>
                <w:szCs w:val="24"/>
              </w:rPr>
              <w:t>1</w:t>
            </w:r>
            <w:r>
              <w:rPr>
                <w:rFonts w:hint="eastAsia" w:ascii="仿宋_GB2312" w:hAnsi="仿宋_GB2312" w:eastAsia="仿宋_GB2312" w:cs="仿宋_GB2312"/>
                <w:color w:val="auto"/>
                <w:spacing w:val="-14"/>
                <w:sz w:val="24"/>
                <w:szCs w:val="24"/>
              </w:rPr>
              <w:t>5</w:t>
            </w:r>
          </w:p>
        </w:tc>
        <w:tc>
          <w:tcPr>
            <w:tcW w:w="2675" w:type="dxa"/>
            <w:vAlign w:val="top"/>
          </w:tcPr>
          <w:p>
            <w:pPr>
              <w:spacing w:before="175" w:line="224" w:lineRule="auto"/>
              <w:ind w:left="115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6"/>
                <w:sz w:val="24"/>
                <w:szCs w:val="24"/>
              </w:rPr>
              <w:t>水</w:t>
            </w:r>
            <w:r>
              <w:rPr>
                <w:rFonts w:hint="eastAsia" w:ascii="仿宋_GB2312" w:hAnsi="仿宋_GB2312" w:eastAsia="仿宋_GB2312" w:cs="仿宋_GB2312"/>
                <w:color w:val="auto"/>
                <w:spacing w:val="-5"/>
                <w:sz w:val="24"/>
                <w:szCs w:val="24"/>
              </w:rPr>
              <w:t>泵头</w:t>
            </w:r>
          </w:p>
        </w:tc>
        <w:tc>
          <w:tcPr>
            <w:tcW w:w="1863" w:type="dxa"/>
            <w:vAlign w:val="top"/>
          </w:tcPr>
          <w:p>
            <w:pPr>
              <w:spacing w:before="175" w:line="224" w:lineRule="auto"/>
              <w:ind w:left="52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5"/>
                <w:sz w:val="24"/>
                <w:szCs w:val="24"/>
              </w:rPr>
              <w:t>7</w:t>
            </w:r>
            <w:r>
              <w:rPr>
                <w:rFonts w:hint="eastAsia" w:ascii="仿宋_GB2312" w:hAnsi="仿宋_GB2312" w:eastAsia="仿宋_GB2312" w:cs="仿宋_GB2312"/>
                <w:color w:val="auto"/>
                <w:spacing w:val="-22"/>
                <w:sz w:val="24"/>
                <w:szCs w:val="24"/>
              </w:rPr>
              <w:t>个</w:t>
            </w:r>
          </w:p>
        </w:tc>
        <w:tc>
          <w:tcPr>
            <w:tcW w:w="1775" w:type="dxa"/>
            <w:vMerge w:val="continue"/>
            <w:vAlign w:val="top"/>
          </w:tcPr>
          <w:p>
            <w:pPr>
              <w:rPr>
                <w:rFonts w:hint="eastAsia" w:ascii="仿宋_GB2312" w:hAnsi="仿宋_GB2312" w:eastAsia="仿宋_GB2312" w:cs="仿宋_GB2312"/>
                <w:color w:val="auto"/>
                <w:sz w:val="24"/>
                <w:szCs w:val="24"/>
              </w:rPr>
            </w:pPr>
          </w:p>
        </w:tc>
        <w:tc>
          <w:tcPr>
            <w:tcW w:w="1437" w:type="dxa"/>
            <w:vMerge w:val="continue"/>
            <w:vAlign w:val="top"/>
          </w:tcPr>
          <w:p>
            <w:pPr>
              <w:rPr>
                <w:rFonts w:hint="eastAsia"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76" w:type="dxa"/>
            <w:vAlign w:val="top"/>
          </w:tcPr>
          <w:p>
            <w:pPr>
              <w:spacing w:before="223" w:line="181" w:lineRule="auto"/>
              <w:ind w:left="275"/>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5"/>
                <w:sz w:val="24"/>
                <w:szCs w:val="24"/>
              </w:rPr>
              <w:t>1</w:t>
            </w:r>
            <w:r>
              <w:rPr>
                <w:rFonts w:hint="eastAsia" w:ascii="仿宋_GB2312" w:hAnsi="仿宋_GB2312" w:eastAsia="仿宋_GB2312" w:cs="仿宋_GB2312"/>
                <w:color w:val="auto"/>
                <w:spacing w:val="-14"/>
                <w:sz w:val="24"/>
                <w:szCs w:val="24"/>
              </w:rPr>
              <w:t>6</w:t>
            </w:r>
          </w:p>
        </w:tc>
        <w:tc>
          <w:tcPr>
            <w:tcW w:w="2675" w:type="dxa"/>
            <w:vAlign w:val="top"/>
          </w:tcPr>
          <w:p>
            <w:pPr>
              <w:spacing w:before="175" w:line="223" w:lineRule="auto"/>
              <w:ind w:left="875"/>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4"/>
                <w:sz w:val="24"/>
                <w:szCs w:val="24"/>
              </w:rPr>
              <w:t>水</w:t>
            </w:r>
            <w:r>
              <w:rPr>
                <w:rFonts w:hint="eastAsia" w:ascii="仿宋_GB2312" w:hAnsi="仿宋_GB2312" w:eastAsia="仿宋_GB2312" w:cs="仿宋_GB2312"/>
                <w:color w:val="auto"/>
                <w:spacing w:val="-3"/>
                <w:sz w:val="24"/>
                <w:szCs w:val="24"/>
              </w:rPr>
              <w:t>泵排风头</w:t>
            </w:r>
          </w:p>
        </w:tc>
        <w:tc>
          <w:tcPr>
            <w:tcW w:w="1863" w:type="dxa"/>
            <w:vAlign w:val="top"/>
          </w:tcPr>
          <w:p>
            <w:pPr>
              <w:spacing w:before="174" w:line="224" w:lineRule="auto"/>
              <w:ind w:left="5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3"/>
                <w:sz w:val="24"/>
                <w:szCs w:val="24"/>
              </w:rPr>
              <w:t>2</w:t>
            </w:r>
            <w:r>
              <w:rPr>
                <w:rFonts w:hint="eastAsia" w:ascii="仿宋_GB2312" w:hAnsi="仿宋_GB2312" w:eastAsia="仿宋_GB2312" w:cs="仿宋_GB2312"/>
                <w:color w:val="auto"/>
                <w:spacing w:val="-21"/>
                <w:sz w:val="24"/>
                <w:szCs w:val="24"/>
              </w:rPr>
              <w:t>个</w:t>
            </w:r>
          </w:p>
        </w:tc>
        <w:tc>
          <w:tcPr>
            <w:tcW w:w="1775" w:type="dxa"/>
            <w:vMerge w:val="continue"/>
            <w:vAlign w:val="top"/>
          </w:tcPr>
          <w:p>
            <w:pPr>
              <w:rPr>
                <w:rFonts w:hint="eastAsia" w:ascii="仿宋_GB2312" w:hAnsi="仿宋_GB2312" w:eastAsia="仿宋_GB2312" w:cs="仿宋_GB2312"/>
                <w:color w:val="auto"/>
                <w:sz w:val="24"/>
                <w:szCs w:val="24"/>
              </w:rPr>
            </w:pPr>
          </w:p>
        </w:tc>
        <w:tc>
          <w:tcPr>
            <w:tcW w:w="1437" w:type="dxa"/>
            <w:vMerge w:val="continue"/>
            <w:vAlign w:val="top"/>
          </w:tcPr>
          <w:p>
            <w:pPr>
              <w:rPr>
                <w:rFonts w:hint="eastAsia"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76" w:type="dxa"/>
            <w:vAlign w:val="top"/>
          </w:tcPr>
          <w:p>
            <w:pPr>
              <w:spacing w:before="225" w:line="181" w:lineRule="auto"/>
              <w:ind w:left="275"/>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5"/>
                <w:sz w:val="24"/>
                <w:szCs w:val="24"/>
              </w:rPr>
              <w:t>1</w:t>
            </w:r>
            <w:r>
              <w:rPr>
                <w:rFonts w:hint="eastAsia" w:ascii="仿宋_GB2312" w:hAnsi="仿宋_GB2312" w:eastAsia="仿宋_GB2312" w:cs="仿宋_GB2312"/>
                <w:color w:val="auto"/>
                <w:spacing w:val="-14"/>
                <w:sz w:val="24"/>
                <w:szCs w:val="24"/>
              </w:rPr>
              <w:t>7</w:t>
            </w:r>
          </w:p>
        </w:tc>
        <w:tc>
          <w:tcPr>
            <w:tcW w:w="2675" w:type="dxa"/>
            <w:vAlign w:val="top"/>
          </w:tcPr>
          <w:p>
            <w:pPr>
              <w:spacing w:before="177" w:line="223" w:lineRule="auto"/>
              <w:ind w:left="1015"/>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5"/>
                <w:sz w:val="24"/>
                <w:szCs w:val="24"/>
              </w:rPr>
              <w:t>水</w:t>
            </w:r>
            <w:r>
              <w:rPr>
                <w:rFonts w:hint="eastAsia" w:ascii="仿宋_GB2312" w:hAnsi="仿宋_GB2312" w:eastAsia="仿宋_GB2312" w:cs="仿宋_GB2312"/>
                <w:color w:val="auto"/>
                <w:spacing w:val="-4"/>
                <w:sz w:val="24"/>
                <w:szCs w:val="24"/>
              </w:rPr>
              <w:t>泵卡子</w:t>
            </w:r>
          </w:p>
        </w:tc>
        <w:tc>
          <w:tcPr>
            <w:tcW w:w="1863" w:type="dxa"/>
            <w:vAlign w:val="top"/>
          </w:tcPr>
          <w:p>
            <w:pPr>
              <w:spacing w:before="176" w:line="224" w:lineRule="auto"/>
              <w:ind w:left="468"/>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3"/>
                <w:sz w:val="24"/>
                <w:szCs w:val="24"/>
              </w:rPr>
              <w:t>1</w:t>
            </w:r>
            <w:r>
              <w:rPr>
                <w:rFonts w:hint="eastAsia" w:ascii="仿宋_GB2312" w:hAnsi="仿宋_GB2312" w:eastAsia="仿宋_GB2312" w:cs="仿宋_GB2312"/>
                <w:color w:val="auto"/>
                <w:spacing w:val="-20"/>
                <w:sz w:val="24"/>
                <w:szCs w:val="24"/>
              </w:rPr>
              <w:t>1个</w:t>
            </w:r>
          </w:p>
        </w:tc>
        <w:tc>
          <w:tcPr>
            <w:tcW w:w="1775" w:type="dxa"/>
            <w:vMerge w:val="continue"/>
            <w:vAlign w:val="top"/>
          </w:tcPr>
          <w:p>
            <w:pPr>
              <w:rPr>
                <w:rFonts w:hint="eastAsia" w:ascii="仿宋_GB2312" w:hAnsi="仿宋_GB2312" w:eastAsia="仿宋_GB2312" w:cs="仿宋_GB2312"/>
                <w:color w:val="auto"/>
                <w:sz w:val="24"/>
                <w:szCs w:val="24"/>
              </w:rPr>
            </w:pPr>
          </w:p>
        </w:tc>
        <w:tc>
          <w:tcPr>
            <w:tcW w:w="1437" w:type="dxa"/>
            <w:vMerge w:val="continue"/>
            <w:vAlign w:val="top"/>
          </w:tcPr>
          <w:p>
            <w:pPr>
              <w:rPr>
                <w:rFonts w:hint="eastAsia" w:ascii="仿宋_GB2312" w:hAnsi="仿宋_GB2312" w:eastAsia="仿宋_GB2312" w:cs="仿宋_GB2312"/>
                <w:color w:val="auto"/>
                <w:sz w:val="24"/>
                <w:szCs w:val="24"/>
              </w:rPr>
            </w:pPr>
          </w:p>
        </w:tc>
      </w:tr>
    </w:tbl>
    <w:p>
      <w:pPr>
        <w:rPr>
          <w:rFonts w:ascii="Arial"/>
          <w:color w:val="auto"/>
          <w:sz w:val="21"/>
        </w:rPr>
      </w:pPr>
    </w:p>
    <w:p>
      <w:pPr>
        <w:rPr>
          <w:rFonts w:hint="eastAsia" w:ascii="黑体" w:hAnsi="黑体" w:eastAsia="黑体" w:cs="黑体"/>
          <w:color w:val="auto"/>
          <w:sz w:val="32"/>
          <w:szCs w:val="32"/>
        </w:rPr>
      </w:pPr>
      <w:r>
        <w:rPr>
          <w:rFonts w:hint="eastAsia" w:ascii="黑体" w:hAnsi="黑体" w:eastAsia="黑体" w:cs="黑体"/>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成办各村配备防火用具登记表</w:t>
      </w:r>
    </w:p>
    <w:p>
      <w:pPr>
        <w:spacing w:line="145" w:lineRule="auto"/>
        <w:rPr>
          <w:rFonts w:ascii="Arial"/>
          <w:color w:val="auto"/>
          <w:sz w:val="2"/>
        </w:rPr>
      </w:pPr>
    </w:p>
    <w:tbl>
      <w:tblPr>
        <w:tblStyle w:val="2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1"/>
        <w:gridCol w:w="2305"/>
        <w:gridCol w:w="3666"/>
        <w:gridCol w:w="17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41" w:type="dxa"/>
            <w:vAlign w:val="top"/>
          </w:tcPr>
          <w:p>
            <w:pPr>
              <w:spacing w:before="177" w:line="223" w:lineRule="auto"/>
              <w:ind w:left="155"/>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pacing w:val="-9"/>
                <w:sz w:val="24"/>
                <w:szCs w:val="24"/>
              </w:rPr>
              <w:t>序</w:t>
            </w:r>
            <w:r>
              <w:rPr>
                <w:rFonts w:hint="eastAsia" w:ascii="仿宋_GB2312" w:hAnsi="仿宋_GB2312" w:eastAsia="仿宋_GB2312" w:cs="仿宋_GB2312"/>
                <w:b/>
                <w:bCs/>
                <w:color w:val="auto"/>
                <w:spacing w:val="-8"/>
                <w:sz w:val="24"/>
                <w:szCs w:val="24"/>
              </w:rPr>
              <w:t>号</w:t>
            </w:r>
          </w:p>
        </w:tc>
        <w:tc>
          <w:tcPr>
            <w:tcW w:w="2305" w:type="dxa"/>
            <w:vAlign w:val="top"/>
          </w:tcPr>
          <w:p>
            <w:pPr>
              <w:spacing w:before="177" w:line="222" w:lineRule="auto"/>
              <w:ind w:left="815"/>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pacing w:val="1"/>
                <w:sz w:val="24"/>
                <w:szCs w:val="24"/>
                <w:lang w:val="en-US" w:eastAsia="zh-CN"/>
              </w:rPr>
              <w:t>存放地点</w:t>
            </w:r>
          </w:p>
        </w:tc>
        <w:tc>
          <w:tcPr>
            <w:tcW w:w="3666" w:type="dxa"/>
            <w:vAlign w:val="top"/>
          </w:tcPr>
          <w:p>
            <w:pPr>
              <w:spacing w:before="176" w:line="222" w:lineRule="auto"/>
              <w:ind w:left="1028"/>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pacing w:val="-6"/>
                <w:sz w:val="24"/>
                <w:szCs w:val="24"/>
              </w:rPr>
              <w:t>防火工具名称</w:t>
            </w:r>
          </w:p>
        </w:tc>
        <w:tc>
          <w:tcPr>
            <w:tcW w:w="1714" w:type="dxa"/>
            <w:vAlign w:val="top"/>
          </w:tcPr>
          <w:p>
            <w:pPr>
              <w:spacing w:before="176" w:line="224" w:lineRule="auto"/>
              <w:ind w:left="592"/>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pacing w:val="-8"/>
                <w:sz w:val="24"/>
                <w:szCs w:val="24"/>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1" w:type="dxa"/>
            <w:vMerge w:val="restart"/>
            <w:vAlign w:val="center"/>
          </w:tcPr>
          <w:p>
            <w:pPr>
              <w:spacing w:before="220" w:line="181" w:lineRule="auto"/>
              <w:ind w:left="378"/>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2305" w:type="dxa"/>
            <w:vMerge w:val="restart"/>
            <w:vAlign w:val="center"/>
          </w:tcPr>
          <w:p>
            <w:pPr>
              <w:spacing w:before="173" w:line="224"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pacing w:val="-7"/>
                <w:sz w:val="24"/>
                <w:szCs w:val="24"/>
              </w:rPr>
              <w:t>讨</w:t>
            </w:r>
            <w:r>
              <w:rPr>
                <w:rFonts w:hint="eastAsia" w:ascii="仿宋_GB2312" w:hAnsi="仿宋_GB2312" w:eastAsia="仿宋_GB2312" w:cs="仿宋_GB2312"/>
                <w:color w:val="auto"/>
                <w:spacing w:val="-6"/>
                <w:sz w:val="24"/>
                <w:szCs w:val="24"/>
              </w:rPr>
              <w:t>思浩</w:t>
            </w:r>
            <w:r>
              <w:rPr>
                <w:rFonts w:hint="eastAsia" w:ascii="仿宋_GB2312" w:hAnsi="仿宋_GB2312" w:eastAsia="仿宋_GB2312" w:cs="仿宋_GB2312"/>
                <w:color w:val="auto"/>
                <w:spacing w:val="-6"/>
                <w:sz w:val="24"/>
                <w:szCs w:val="24"/>
                <w:lang w:val="en-US" w:eastAsia="zh-CN"/>
              </w:rPr>
              <w:t>村</w:t>
            </w:r>
          </w:p>
        </w:tc>
        <w:tc>
          <w:tcPr>
            <w:tcW w:w="3666" w:type="dxa"/>
            <w:vAlign w:val="top"/>
          </w:tcPr>
          <w:p>
            <w:pPr>
              <w:spacing w:before="172" w:line="223" w:lineRule="auto"/>
              <w:ind w:left="1571"/>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风</w:t>
            </w:r>
            <w:r>
              <w:rPr>
                <w:rFonts w:hint="eastAsia" w:ascii="仿宋_GB2312" w:hAnsi="仿宋_GB2312" w:eastAsia="仿宋_GB2312" w:cs="仿宋_GB2312"/>
                <w:color w:val="auto"/>
                <w:spacing w:val="-9"/>
                <w:sz w:val="24"/>
                <w:szCs w:val="24"/>
              </w:rPr>
              <w:t>机</w:t>
            </w:r>
          </w:p>
        </w:tc>
        <w:tc>
          <w:tcPr>
            <w:tcW w:w="1714" w:type="dxa"/>
            <w:vAlign w:val="top"/>
          </w:tcPr>
          <w:p>
            <w:pPr>
              <w:spacing w:before="171" w:line="222" w:lineRule="auto"/>
              <w:ind w:left="56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4"/>
                <w:sz w:val="24"/>
                <w:szCs w:val="24"/>
              </w:rPr>
              <w:t>12 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41" w:type="dxa"/>
            <w:vMerge w:val="continue"/>
            <w:vAlign w:val="center"/>
          </w:tcPr>
          <w:p>
            <w:pPr>
              <w:jc w:val="center"/>
              <w:rPr>
                <w:rFonts w:hint="eastAsia" w:ascii="仿宋_GB2312" w:hAnsi="仿宋_GB2312" w:eastAsia="仿宋_GB2312" w:cs="仿宋_GB2312"/>
                <w:color w:val="auto"/>
                <w:sz w:val="24"/>
                <w:szCs w:val="24"/>
              </w:rPr>
            </w:pPr>
          </w:p>
        </w:tc>
        <w:tc>
          <w:tcPr>
            <w:tcW w:w="2305" w:type="dxa"/>
            <w:vMerge w:val="continue"/>
            <w:vAlign w:val="center"/>
          </w:tcPr>
          <w:p>
            <w:pPr>
              <w:jc w:val="center"/>
              <w:rPr>
                <w:rFonts w:hint="eastAsia" w:ascii="仿宋_GB2312" w:hAnsi="仿宋_GB2312" w:eastAsia="仿宋_GB2312" w:cs="仿宋_GB2312"/>
                <w:color w:val="auto"/>
                <w:sz w:val="24"/>
                <w:szCs w:val="24"/>
              </w:rPr>
            </w:pPr>
          </w:p>
        </w:tc>
        <w:tc>
          <w:tcPr>
            <w:tcW w:w="3666" w:type="dxa"/>
            <w:vAlign w:val="top"/>
          </w:tcPr>
          <w:p>
            <w:pPr>
              <w:spacing w:before="173" w:line="224" w:lineRule="auto"/>
              <w:ind w:left="131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7"/>
                <w:sz w:val="24"/>
                <w:szCs w:val="24"/>
              </w:rPr>
              <w:t>2</w:t>
            </w:r>
            <w:r>
              <w:rPr>
                <w:rFonts w:hint="eastAsia" w:ascii="仿宋_GB2312" w:hAnsi="仿宋_GB2312" w:eastAsia="仿宋_GB2312" w:cs="仿宋_GB2312"/>
                <w:color w:val="auto"/>
                <w:spacing w:val="-16"/>
                <w:sz w:val="24"/>
                <w:szCs w:val="24"/>
              </w:rPr>
              <w:t>号工具</w:t>
            </w:r>
          </w:p>
        </w:tc>
        <w:tc>
          <w:tcPr>
            <w:tcW w:w="1714" w:type="dxa"/>
            <w:vAlign w:val="top"/>
          </w:tcPr>
          <w:p>
            <w:pPr>
              <w:spacing w:before="173" w:line="225" w:lineRule="auto"/>
              <w:ind w:left="56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2"/>
                <w:sz w:val="24"/>
                <w:szCs w:val="24"/>
              </w:rPr>
              <w:t>1</w:t>
            </w:r>
            <w:r>
              <w:rPr>
                <w:rFonts w:hint="eastAsia" w:ascii="仿宋_GB2312" w:hAnsi="仿宋_GB2312" w:eastAsia="仿宋_GB2312" w:cs="仿宋_GB2312"/>
                <w:color w:val="auto"/>
                <w:spacing w:val="-20"/>
                <w:sz w:val="24"/>
                <w:szCs w:val="24"/>
              </w:rPr>
              <w:t>2 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1" w:type="dxa"/>
            <w:vMerge w:val="continue"/>
            <w:vAlign w:val="center"/>
          </w:tcPr>
          <w:p>
            <w:pPr>
              <w:jc w:val="center"/>
              <w:rPr>
                <w:rFonts w:hint="eastAsia" w:ascii="仿宋_GB2312" w:hAnsi="仿宋_GB2312" w:eastAsia="仿宋_GB2312" w:cs="仿宋_GB2312"/>
                <w:color w:val="auto"/>
                <w:sz w:val="24"/>
                <w:szCs w:val="24"/>
              </w:rPr>
            </w:pPr>
          </w:p>
        </w:tc>
        <w:tc>
          <w:tcPr>
            <w:tcW w:w="2305" w:type="dxa"/>
            <w:vMerge w:val="continue"/>
            <w:vAlign w:val="center"/>
          </w:tcPr>
          <w:p>
            <w:pPr>
              <w:jc w:val="center"/>
              <w:rPr>
                <w:rFonts w:hint="eastAsia" w:ascii="仿宋_GB2312" w:hAnsi="仿宋_GB2312" w:eastAsia="仿宋_GB2312" w:cs="仿宋_GB2312"/>
                <w:color w:val="auto"/>
                <w:sz w:val="24"/>
                <w:szCs w:val="24"/>
              </w:rPr>
            </w:pPr>
          </w:p>
        </w:tc>
        <w:tc>
          <w:tcPr>
            <w:tcW w:w="3666" w:type="dxa"/>
            <w:vAlign w:val="top"/>
          </w:tcPr>
          <w:p>
            <w:pPr>
              <w:spacing w:before="172" w:line="224" w:lineRule="auto"/>
              <w:ind w:left="1431"/>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6"/>
                <w:sz w:val="24"/>
                <w:szCs w:val="24"/>
              </w:rPr>
              <w:t>灭火器</w:t>
            </w:r>
          </w:p>
        </w:tc>
        <w:tc>
          <w:tcPr>
            <w:tcW w:w="1714" w:type="dxa"/>
            <w:vAlign w:val="top"/>
          </w:tcPr>
          <w:p>
            <w:pPr>
              <w:spacing w:before="172" w:line="224" w:lineRule="auto"/>
              <w:ind w:left="56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1"/>
                <w:sz w:val="24"/>
                <w:szCs w:val="24"/>
              </w:rPr>
              <w:t>1</w:t>
            </w:r>
            <w:r>
              <w:rPr>
                <w:rFonts w:hint="eastAsia" w:ascii="仿宋_GB2312" w:hAnsi="仿宋_GB2312" w:eastAsia="仿宋_GB2312" w:cs="仿宋_GB2312"/>
                <w:color w:val="auto"/>
                <w:spacing w:val="-20"/>
                <w:sz w:val="24"/>
                <w:szCs w:val="24"/>
              </w:rPr>
              <w:t>0 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41" w:type="dxa"/>
            <w:vMerge w:val="continue"/>
            <w:vAlign w:val="center"/>
          </w:tcPr>
          <w:p>
            <w:pPr>
              <w:jc w:val="center"/>
              <w:rPr>
                <w:rFonts w:hint="eastAsia" w:ascii="仿宋_GB2312" w:hAnsi="仿宋_GB2312" w:eastAsia="仿宋_GB2312" w:cs="仿宋_GB2312"/>
                <w:color w:val="auto"/>
                <w:sz w:val="24"/>
                <w:szCs w:val="24"/>
              </w:rPr>
            </w:pPr>
          </w:p>
        </w:tc>
        <w:tc>
          <w:tcPr>
            <w:tcW w:w="2305" w:type="dxa"/>
            <w:vMerge w:val="continue"/>
            <w:vAlign w:val="center"/>
          </w:tcPr>
          <w:p>
            <w:pPr>
              <w:jc w:val="center"/>
              <w:rPr>
                <w:rFonts w:hint="eastAsia" w:ascii="仿宋_GB2312" w:hAnsi="仿宋_GB2312" w:eastAsia="仿宋_GB2312" w:cs="仿宋_GB2312"/>
                <w:color w:val="auto"/>
                <w:sz w:val="24"/>
                <w:szCs w:val="24"/>
              </w:rPr>
            </w:pPr>
          </w:p>
        </w:tc>
        <w:tc>
          <w:tcPr>
            <w:tcW w:w="3666" w:type="dxa"/>
            <w:vAlign w:val="top"/>
          </w:tcPr>
          <w:p>
            <w:pPr>
              <w:spacing w:before="172" w:line="222" w:lineRule="auto"/>
              <w:ind w:left="1568"/>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扫帚</w:t>
            </w:r>
          </w:p>
        </w:tc>
        <w:tc>
          <w:tcPr>
            <w:tcW w:w="1714" w:type="dxa"/>
            <w:vAlign w:val="top"/>
          </w:tcPr>
          <w:p>
            <w:pPr>
              <w:spacing w:before="173" w:line="225" w:lineRule="auto"/>
              <w:ind w:left="56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2"/>
                <w:sz w:val="24"/>
                <w:szCs w:val="24"/>
              </w:rPr>
              <w:t>1</w:t>
            </w:r>
            <w:r>
              <w:rPr>
                <w:rFonts w:hint="eastAsia" w:ascii="仿宋_GB2312" w:hAnsi="仿宋_GB2312" w:eastAsia="仿宋_GB2312" w:cs="仿宋_GB2312"/>
                <w:color w:val="auto"/>
                <w:spacing w:val="-20"/>
                <w:sz w:val="24"/>
                <w:szCs w:val="24"/>
              </w:rPr>
              <w:t>0 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41" w:type="dxa"/>
            <w:vMerge w:val="continue"/>
            <w:vAlign w:val="center"/>
          </w:tcPr>
          <w:p>
            <w:pPr>
              <w:jc w:val="center"/>
              <w:rPr>
                <w:rFonts w:hint="eastAsia" w:ascii="仿宋_GB2312" w:hAnsi="仿宋_GB2312" w:eastAsia="仿宋_GB2312" w:cs="仿宋_GB2312"/>
                <w:color w:val="auto"/>
                <w:sz w:val="24"/>
                <w:szCs w:val="24"/>
              </w:rPr>
            </w:pPr>
          </w:p>
        </w:tc>
        <w:tc>
          <w:tcPr>
            <w:tcW w:w="2305" w:type="dxa"/>
            <w:vMerge w:val="continue"/>
            <w:vAlign w:val="center"/>
          </w:tcPr>
          <w:p>
            <w:pPr>
              <w:jc w:val="center"/>
              <w:rPr>
                <w:rFonts w:hint="eastAsia" w:ascii="仿宋_GB2312" w:hAnsi="仿宋_GB2312" w:eastAsia="仿宋_GB2312" w:cs="仿宋_GB2312"/>
                <w:color w:val="auto"/>
                <w:sz w:val="24"/>
                <w:szCs w:val="24"/>
              </w:rPr>
            </w:pPr>
          </w:p>
        </w:tc>
        <w:tc>
          <w:tcPr>
            <w:tcW w:w="3666" w:type="dxa"/>
            <w:vAlign w:val="top"/>
          </w:tcPr>
          <w:p>
            <w:pPr>
              <w:spacing w:before="176" w:line="224" w:lineRule="auto"/>
              <w:ind w:left="157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铁</w:t>
            </w:r>
            <w:r>
              <w:rPr>
                <w:rFonts w:hint="eastAsia" w:ascii="仿宋_GB2312" w:hAnsi="仿宋_GB2312" w:eastAsia="仿宋_GB2312" w:cs="仿宋_GB2312"/>
                <w:color w:val="auto"/>
                <w:spacing w:val="-10"/>
                <w:sz w:val="24"/>
                <w:szCs w:val="24"/>
              </w:rPr>
              <w:t>锹</w:t>
            </w:r>
          </w:p>
        </w:tc>
        <w:tc>
          <w:tcPr>
            <w:tcW w:w="1714" w:type="dxa"/>
            <w:vAlign w:val="top"/>
          </w:tcPr>
          <w:p>
            <w:pPr>
              <w:spacing w:before="175" w:line="225" w:lineRule="auto"/>
              <w:ind w:left="56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2"/>
                <w:sz w:val="24"/>
                <w:szCs w:val="24"/>
              </w:rPr>
              <w:t>1</w:t>
            </w:r>
            <w:r>
              <w:rPr>
                <w:rFonts w:hint="eastAsia" w:ascii="仿宋_GB2312" w:hAnsi="仿宋_GB2312" w:eastAsia="仿宋_GB2312" w:cs="仿宋_GB2312"/>
                <w:color w:val="auto"/>
                <w:spacing w:val="-20"/>
                <w:sz w:val="24"/>
                <w:szCs w:val="24"/>
              </w:rPr>
              <w:t>0 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1" w:type="dxa"/>
            <w:vMerge w:val="continue"/>
            <w:vAlign w:val="center"/>
          </w:tcPr>
          <w:p>
            <w:pPr>
              <w:jc w:val="center"/>
              <w:rPr>
                <w:rFonts w:hint="eastAsia" w:ascii="仿宋_GB2312" w:hAnsi="仿宋_GB2312" w:eastAsia="仿宋_GB2312" w:cs="仿宋_GB2312"/>
                <w:color w:val="auto"/>
                <w:sz w:val="24"/>
                <w:szCs w:val="24"/>
              </w:rPr>
            </w:pPr>
          </w:p>
        </w:tc>
        <w:tc>
          <w:tcPr>
            <w:tcW w:w="2305" w:type="dxa"/>
            <w:vMerge w:val="continue"/>
            <w:vAlign w:val="center"/>
          </w:tcPr>
          <w:p>
            <w:pPr>
              <w:jc w:val="center"/>
              <w:rPr>
                <w:rFonts w:hint="eastAsia" w:ascii="仿宋_GB2312" w:hAnsi="仿宋_GB2312" w:eastAsia="仿宋_GB2312" w:cs="仿宋_GB2312"/>
                <w:color w:val="auto"/>
                <w:sz w:val="24"/>
                <w:szCs w:val="24"/>
              </w:rPr>
            </w:pPr>
          </w:p>
        </w:tc>
        <w:tc>
          <w:tcPr>
            <w:tcW w:w="3666" w:type="dxa"/>
            <w:vAlign w:val="top"/>
          </w:tcPr>
          <w:p>
            <w:pPr>
              <w:spacing w:before="175" w:line="220" w:lineRule="auto"/>
              <w:ind w:left="1568"/>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水车</w:t>
            </w:r>
          </w:p>
        </w:tc>
        <w:tc>
          <w:tcPr>
            <w:tcW w:w="1714" w:type="dxa"/>
            <w:vAlign w:val="top"/>
          </w:tcPr>
          <w:p>
            <w:pPr>
              <w:spacing w:before="175" w:line="222" w:lineRule="auto"/>
              <w:ind w:left="621"/>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3"/>
                <w:sz w:val="24"/>
                <w:szCs w:val="24"/>
              </w:rPr>
              <w:t>2</w:t>
            </w:r>
            <w:r>
              <w:rPr>
                <w:rFonts w:hint="eastAsia" w:ascii="仿宋_GB2312" w:hAnsi="仿宋_GB2312" w:eastAsia="仿宋_GB2312" w:cs="仿宋_GB2312"/>
                <w:color w:val="auto"/>
                <w:spacing w:val="-21"/>
                <w:sz w:val="24"/>
                <w:szCs w:val="24"/>
              </w:rPr>
              <w:t xml:space="preserve"> 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41" w:type="dxa"/>
            <w:vMerge w:val="continue"/>
            <w:vAlign w:val="center"/>
          </w:tcPr>
          <w:p>
            <w:pPr>
              <w:jc w:val="center"/>
              <w:rPr>
                <w:rFonts w:hint="eastAsia" w:ascii="仿宋_GB2312" w:hAnsi="仿宋_GB2312" w:eastAsia="仿宋_GB2312" w:cs="仿宋_GB2312"/>
                <w:color w:val="auto"/>
                <w:sz w:val="24"/>
                <w:szCs w:val="24"/>
              </w:rPr>
            </w:pPr>
          </w:p>
        </w:tc>
        <w:tc>
          <w:tcPr>
            <w:tcW w:w="2305" w:type="dxa"/>
            <w:vMerge w:val="continue"/>
            <w:vAlign w:val="center"/>
          </w:tcPr>
          <w:p>
            <w:pPr>
              <w:jc w:val="center"/>
              <w:rPr>
                <w:rFonts w:hint="eastAsia" w:ascii="仿宋_GB2312" w:hAnsi="仿宋_GB2312" w:eastAsia="仿宋_GB2312" w:cs="仿宋_GB2312"/>
                <w:color w:val="auto"/>
                <w:sz w:val="24"/>
                <w:szCs w:val="24"/>
              </w:rPr>
            </w:pPr>
          </w:p>
        </w:tc>
        <w:tc>
          <w:tcPr>
            <w:tcW w:w="3666" w:type="dxa"/>
            <w:vAlign w:val="top"/>
          </w:tcPr>
          <w:p>
            <w:pPr>
              <w:spacing w:before="175" w:line="220" w:lineRule="auto"/>
              <w:ind w:left="143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装</w:t>
            </w:r>
            <w:r>
              <w:rPr>
                <w:rFonts w:hint="eastAsia" w:ascii="仿宋_GB2312" w:hAnsi="仿宋_GB2312" w:eastAsia="仿宋_GB2312" w:cs="仿宋_GB2312"/>
                <w:color w:val="auto"/>
                <w:spacing w:val="-7"/>
                <w:sz w:val="24"/>
                <w:szCs w:val="24"/>
              </w:rPr>
              <w:t>载车</w:t>
            </w:r>
          </w:p>
        </w:tc>
        <w:tc>
          <w:tcPr>
            <w:tcW w:w="1714" w:type="dxa"/>
            <w:vAlign w:val="top"/>
          </w:tcPr>
          <w:p>
            <w:pPr>
              <w:spacing w:before="176" w:line="222" w:lineRule="auto"/>
              <w:ind w:left="621"/>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3"/>
                <w:sz w:val="24"/>
                <w:szCs w:val="24"/>
              </w:rPr>
              <w:t>2</w:t>
            </w:r>
            <w:r>
              <w:rPr>
                <w:rFonts w:hint="eastAsia" w:ascii="仿宋_GB2312" w:hAnsi="仿宋_GB2312" w:eastAsia="仿宋_GB2312" w:cs="仿宋_GB2312"/>
                <w:color w:val="auto"/>
                <w:spacing w:val="-21"/>
                <w:sz w:val="24"/>
                <w:szCs w:val="24"/>
              </w:rPr>
              <w:t xml:space="preserve"> 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41" w:type="dxa"/>
            <w:vMerge w:val="restart"/>
            <w:vAlign w:val="center"/>
          </w:tcPr>
          <w:p>
            <w:pPr>
              <w:spacing w:before="223" w:line="181" w:lineRule="auto"/>
              <w:ind w:left="361"/>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2305" w:type="dxa"/>
            <w:vMerge w:val="restart"/>
            <w:vAlign w:val="center"/>
          </w:tcPr>
          <w:p>
            <w:pPr>
              <w:spacing w:before="174" w:line="224"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pacing w:val="-8"/>
                <w:sz w:val="24"/>
                <w:szCs w:val="24"/>
              </w:rPr>
              <w:t>乌兰不浪</w:t>
            </w:r>
            <w:r>
              <w:rPr>
                <w:rFonts w:hint="eastAsia" w:ascii="仿宋_GB2312" w:hAnsi="仿宋_GB2312" w:eastAsia="仿宋_GB2312" w:cs="仿宋_GB2312"/>
                <w:color w:val="auto"/>
                <w:spacing w:val="-8"/>
                <w:sz w:val="24"/>
                <w:szCs w:val="24"/>
                <w:lang w:val="en-US" w:eastAsia="zh-CN"/>
              </w:rPr>
              <w:t>村</w:t>
            </w:r>
          </w:p>
        </w:tc>
        <w:tc>
          <w:tcPr>
            <w:tcW w:w="3666" w:type="dxa"/>
            <w:vAlign w:val="top"/>
          </w:tcPr>
          <w:p>
            <w:pPr>
              <w:spacing w:before="175" w:line="223" w:lineRule="auto"/>
              <w:ind w:left="1571"/>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风</w:t>
            </w:r>
            <w:r>
              <w:rPr>
                <w:rFonts w:hint="eastAsia" w:ascii="仿宋_GB2312" w:hAnsi="仿宋_GB2312" w:eastAsia="仿宋_GB2312" w:cs="仿宋_GB2312"/>
                <w:color w:val="auto"/>
                <w:spacing w:val="-9"/>
                <w:sz w:val="24"/>
                <w:szCs w:val="24"/>
              </w:rPr>
              <w:t>机</w:t>
            </w:r>
          </w:p>
        </w:tc>
        <w:tc>
          <w:tcPr>
            <w:tcW w:w="1714" w:type="dxa"/>
            <w:vAlign w:val="top"/>
          </w:tcPr>
          <w:p>
            <w:pPr>
              <w:spacing w:before="174" w:line="222" w:lineRule="auto"/>
              <w:ind w:left="621"/>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4"/>
                <w:sz w:val="24"/>
                <w:szCs w:val="24"/>
              </w:rPr>
              <w:t>2</w:t>
            </w:r>
            <w:r>
              <w:rPr>
                <w:rFonts w:hint="eastAsia" w:ascii="仿宋_GB2312" w:hAnsi="仿宋_GB2312" w:eastAsia="仿宋_GB2312" w:cs="仿宋_GB2312"/>
                <w:color w:val="auto"/>
                <w:spacing w:val="-12"/>
                <w:sz w:val="24"/>
                <w:szCs w:val="24"/>
              </w:rPr>
              <w:t xml:space="preserve"> 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41" w:type="dxa"/>
            <w:vMerge w:val="continue"/>
            <w:vAlign w:val="top"/>
          </w:tcPr>
          <w:p>
            <w:pPr>
              <w:rPr>
                <w:rFonts w:hint="eastAsia" w:ascii="仿宋_GB2312" w:hAnsi="仿宋_GB2312" w:eastAsia="仿宋_GB2312" w:cs="仿宋_GB2312"/>
                <w:color w:val="auto"/>
                <w:sz w:val="24"/>
                <w:szCs w:val="24"/>
              </w:rPr>
            </w:pPr>
          </w:p>
        </w:tc>
        <w:tc>
          <w:tcPr>
            <w:tcW w:w="2305" w:type="dxa"/>
            <w:vMerge w:val="continue"/>
            <w:vAlign w:val="top"/>
          </w:tcPr>
          <w:p>
            <w:pPr>
              <w:jc w:val="center"/>
              <w:rPr>
                <w:rFonts w:hint="eastAsia" w:ascii="仿宋_GB2312" w:hAnsi="仿宋_GB2312" w:eastAsia="仿宋_GB2312" w:cs="仿宋_GB2312"/>
                <w:color w:val="auto"/>
                <w:sz w:val="24"/>
                <w:szCs w:val="24"/>
              </w:rPr>
            </w:pPr>
          </w:p>
        </w:tc>
        <w:tc>
          <w:tcPr>
            <w:tcW w:w="3666" w:type="dxa"/>
            <w:vAlign w:val="top"/>
          </w:tcPr>
          <w:p>
            <w:pPr>
              <w:spacing w:before="174" w:line="224" w:lineRule="auto"/>
              <w:ind w:left="1431"/>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6"/>
                <w:sz w:val="24"/>
                <w:szCs w:val="24"/>
              </w:rPr>
              <w:t>灭火器</w:t>
            </w:r>
          </w:p>
        </w:tc>
        <w:tc>
          <w:tcPr>
            <w:tcW w:w="1714" w:type="dxa"/>
            <w:vAlign w:val="top"/>
          </w:tcPr>
          <w:p>
            <w:pPr>
              <w:spacing w:before="174" w:line="224" w:lineRule="auto"/>
              <w:ind w:left="621"/>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3"/>
                <w:sz w:val="24"/>
                <w:szCs w:val="24"/>
              </w:rPr>
              <w:t>2</w:t>
            </w:r>
            <w:r>
              <w:rPr>
                <w:rFonts w:hint="eastAsia" w:ascii="仿宋_GB2312" w:hAnsi="仿宋_GB2312" w:eastAsia="仿宋_GB2312" w:cs="仿宋_GB2312"/>
                <w:color w:val="auto"/>
                <w:spacing w:val="-20"/>
                <w:sz w:val="24"/>
                <w:szCs w:val="24"/>
              </w:rPr>
              <w:t xml:space="preserve"> 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41" w:type="dxa"/>
            <w:vMerge w:val="continue"/>
            <w:vAlign w:val="top"/>
          </w:tcPr>
          <w:p>
            <w:pPr>
              <w:rPr>
                <w:rFonts w:hint="eastAsia" w:ascii="仿宋_GB2312" w:hAnsi="仿宋_GB2312" w:eastAsia="仿宋_GB2312" w:cs="仿宋_GB2312"/>
                <w:color w:val="auto"/>
                <w:sz w:val="24"/>
                <w:szCs w:val="24"/>
              </w:rPr>
            </w:pPr>
          </w:p>
        </w:tc>
        <w:tc>
          <w:tcPr>
            <w:tcW w:w="2305" w:type="dxa"/>
            <w:vMerge w:val="continue"/>
            <w:vAlign w:val="top"/>
          </w:tcPr>
          <w:p>
            <w:pPr>
              <w:jc w:val="center"/>
              <w:rPr>
                <w:rFonts w:hint="eastAsia" w:ascii="仿宋_GB2312" w:hAnsi="仿宋_GB2312" w:eastAsia="仿宋_GB2312" w:cs="仿宋_GB2312"/>
                <w:color w:val="auto"/>
                <w:sz w:val="24"/>
                <w:szCs w:val="24"/>
              </w:rPr>
            </w:pPr>
          </w:p>
        </w:tc>
        <w:tc>
          <w:tcPr>
            <w:tcW w:w="3666" w:type="dxa"/>
            <w:vAlign w:val="top"/>
          </w:tcPr>
          <w:p>
            <w:pPr>
              <w:spacing w:before="175" w:line="224" w:lineRule="auto"/>
              <w:ind w:left="157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铁</w:t>
            </w:r>
            <w:r>
              <w:rPr>
                <w:rFonts w:hint="eastAsia" w:ascii="仿宋_GB2312" w:hAnsi="仿宋_GB2312" w:eastAsia="仿宋_GB2312" w:cs="仿宋_GB2312"/>
                <w:color w:val="auto"/>
                <w:spacing w:val="-10"/>
                <w:sz w:val="24"/>
                <w:szCs w:val="24"/>
              </w:rPr>
              <w:t>锹</w:t>
            </w:r>
          </w:p>
        </w:tc>
        <w:tc>
          <w:tcPr>
            <w:tcW w:w="1714" w:type="dxa"/>
            <w:vAlign w:val="top"/>
          </w:tcPr>
          <w:p>
            <w:pPr>
              <w:spacing w:before="174" w:line="225" w:lineRule="auto"/>
              <w:ind w:left="56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2"/>
                <w:sz w:val="24"/>
                <w:szCs w:val="24"/>
              </w:rPr>
              <w:t>1</w:t>
            </w:r>
            <w:r>
              <w:rPr>
                <w:rFonts w:hint="eastAsia" w:ascii="仿宋_GB2312" w:hAnsi="仿宋_GB2312" w:eastAsia="仿宋_GB2312" w:cs="仿宋_GB2312"/>
                <w:color w:val="auto"/>
                <w:spacing w:val="-20"/>
                <w:sz w:val="24"/>
                <w:szCs w:val="24"/>
              </w:rPr>
              <w:t>0 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41" w:type="dxa"/>
            <w:vMerge w:val="continue"/>
            <w:vAlign w:val="top"/>
          </w:tcPr>
          <w:p>
            <w:pPr>
              <w:rPr>
                <w:rFonts w:hint="eastAsia" w:ascii="仿宋_GB2312" w:hAnsi="仿宋_GB2312" w:eastAsia="仿宋_GB2312" w:cs="仿宋_GB2312"/>
                <w:color w:val="auto"/>
                <w:sz w:val="24"/>
                <w:szCs w:val="24"/>
              </w:rPr>
            </w:pPr>
          </w:p>
        </w:tc>
        <w:tc>
          <w:tcPr>
            <w:tcW w:w="2305" w:type="dxa"/>
            <w:vMerge w:val="continue"/>
            <w:vAlign w:val="top"/>
          </w:tcPr>
          <w:p>
            <w:pPr>
              <w:jc w:val="center"/>
              <w:rPr>
                <w:rFonts w:hint="eastAsia" w:ascii="仿宋_GB2312" w:hAnsi="仿宋_GB2312" w:eastAsia="仿宋_GB2312" w:cs="仿宋_GB2312"/>
                <w:color w:val="auto"/>
                <w:sz w:val="24"/>
                <w:szCs w:val="24"/>
              </w:rPr>
            </w:pPr>
          </w:p>
        </w:tc>
        <w:tc>
          <w:tcPr>
            <w:tcW w:w="3666" w:type="dxa"/>
            <w:vAlign w:val="top"/>
          </w:tcPr>
          <w:p>
            <w:pPr>
              <w:spacing w:before="175" w:line="222" w:lineRule="auto"/>
              <w:ind w:left="1568"/>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扫帚</w:t>
            </w:r>
          </w:p>
        </w:tc>
        <w:tc>
          <w:tcPr>
            <w:tcW w:w="1714" w:type="dxa"/>
            <w:vAlign w:val="top"/>
          </w:tcPr>
          <w:p>
            <w:pPr>
              <w:spacing w:before="176" w:line="225" w:lineRule="auto"/>
              <w:ind w:left="56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2"/>
                <w:sz w:val="24"/>
                <w:szCs w:val="24"/>
              </w:rPr>
              <w:t>1</w:t>
            </w:r>
            <w:r>
              <w:rPr>
                <w:rFonts w:hint="eastAsia" w:ascii="仿宋_GB2312" w:hAnsi="仿宋_GB2312" w:eastAsia="仿宋_GB2312" w:cs="仿宋_GB2312"/>
                <w:color w:val="auto"/>
                <w:spacing w:val="-20"/>
                <w:sz w:val="24"/>
                <w:szCs w:val="24"/>
              </w:rPr>
              <w:t>2 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1" w:type="dxa"/>
            <w:vMerge w:val="continue"/>
            <w:vAlign w:val="top"/>
          </w:tcPr>
          <w:p>
            <w:pPr>
              <w:rPr>
                <w:rFonts w:hint="eastAsia" w:ascii="仿宋_GB2312" w:hAnsi="仿宋_GB2312" w:eastAsia="仿宋_GB2312" w:cs="仿宋_GB2312"/>
                <w:color w:val="auto"/>
                <w:sz w:val="24"/>
                <w:szCs w:val="24"/>
              </w:rPr>
            </w:pPr>
          </w:p>
        </w:tc>
        <w:tc>
          <w:tcPr>
            <w:tcW w:w="2305" w:type="dxa"/>
            <w:vMerge w:val="continue"/>
            <w:vAlign w:val="top"/>
          </w:tcPr>
          <w:p>
            <w:pPr>
              <w:jc w:val="center"/>
              <w:rPr>
                <w:rFonts w:hint="eastAsia" w:ascii="仿宋_GB2312" w:hAnsi="仿宋_GB2312" w:eastAsia="仿宋_GB2312" w:cs="仿宋_GB2312"/>
                <w:color w:val="auto"/>
                <w:sz w:val="24"/>
                <w:szCs w:val="24"/>
              </w:rPr>
            </w:pPr>
          </w:p>
        </w:tc>
        <w:tc>
          <w:tcPr>
            <w:tcW w:w="3666" w:type="dxa"/>
            <w:vAlign w:val="top"/>
          </w:tcPr>
          <w:p>
            <w:pPr>
              <w:spacing w:before="175" w:line="221" w:lineRule="auto"/>
              <w:ind w:left="1291"/>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7"/>
                <w:sz w:val="24"/>
                <w:szCs w:val="24"/>
              </w:rPr>
              <w:t>灭</w:t>
            </w:r>
            <w:r>
              <w:rPr>
                <w:rFonts w:hint="eastAsia" w:ascii="仿宋_GB2312" w:hAnsi="仿宋_GB2312" w:eastAsia="仿宋_GB2312" w:cs="仿宋_GB2312"/>
                <w:color w:val="auto"/>
                <w:spacing w:val="-4"/>
                <w:sz w:val="24"/>
                <w:szCs w:val="24"/>
              </w:rPr>
              <w:t>火拖布</w:t>
            </w:r>
          </w:p>
        </w:tc>
        <w:tc>
          <w:tcPr>
            <w:tcW w:w="1714" w:type="dxa"/>
            <w:vAlign w:val="top"/>
          </w:tcPr>
          <w:p>
            <w:pPr>
              <w:spacing w:before="175" w:line="224" w:lineRule="auto"/>
              <w:ind w:left="61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1"/>
                <w:sz w:val="24"/>
                <w:szCs w:val="24"/>
              </w:rPr>
              <w:t>8</w:t>
            </w:r>
            <w:r>
              <w:rPr>
                <w:rFonts w:hint="eastAsia" w:ascii="仿宋_GB2312" w:hAnsi="仿宋_GB2312" w:eastAsia="仿宋_GB2312" w:cs="仿宋_GB2312"/>
                <w:color w:val="auto"/>
                <w:spacing w:val="-20"/>
                <w:sz w:val="24"/>
                <w:szCs w:val="24"/>
              </w:rPr>
              <w:t xml:space="preserve"> 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41" w:type="dxa"/>
            <w:vMerge w:val="continue"/>
            <w:vAlign w:val="top"/>
          </w:tcPr>
          <w:p>
            <w:pPr>
              <w:rPr>
                <w:rFonts w:hint="eastAsia" w:ascii="仿宋_GB2312" w:hAnsi="仿宋_GB2312" w:eastAsia="仿宋_GB2312" w:cs="仿宋_GB2312"/>
                <w:color w:val="auto"/>
                <w:sz w:val="24"/>
                <w:szCs w:val="24"/>
              </w:rPr>
            </w:pPr>
          </w:p>
        </w:tc>
        <w:tc>
          <w:tcPr>
            <w:tcW w:w="2305" w:type="dxa"/>
            <w:vMerge w:val="continue"/>
            <w:vAlign w:val="top"/>
          </w:tcPr>
          <w:p>
            <w:pPr>
              <w:jc w:val="center"/>
              <w:rPr>
                <w:rFonts w:hint="eastAsia" w:ascii="仿宋_GB2312" w:hAnsi="仿宋_GB2312" w:eastAsia="仿宋_GB2312" w:cs="仿宋_GB2312"/>
                <w:color w:val="auto"/>
                <w:sz w:val="24"/>
                <w:szCs w:val="24"/>
              </w:rPr>
            </w:pPr>
          </w:p>
        </w:tc>
        <w:tc>
          <w:tcPr>
            <w:tcW w:w="3666" w:type="dxa"/>
            <w:vAlign w:val="top"/>
          </w:tcPr>
          <w:p>
            <w:pPr>
              <w:spacing w:before="176" w:line="220" w:lineRule="auto"/>
              <w:ind w:left="1568"/>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水车</w:t>
            </w:r>
          </w:p>
        </w:tc>
        <w:tc>
          <w:tcPr>
            <w:tcW w:w="1714" w:type="dxa"/>
            <w:vAlign w:val="top"/>
          </w:tcPr>
          <w:p>
            <w:pPr>
              <w:spacing w:before="177" w:line="222" w:lineRule="auto"/>
              <w:ind w:left="63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8"/>
                <w:sz w:val="24"/>
                <w:szCs w:val="24"/>
              </w:rPr>
              <w:t>1</w:t>
            </w:r>
            <w:r>
              <w:rPr>
                <w:rFonts w:hint="eastAsia" w:ascii="仿宋_GB2312" w:hAnsi="仿宋_GB2312" w:eastAsia="仿宋_GB2312" w:cs="仿宋_GB2312"/>
                <w:color w:val="auto"/>
                <w:spacing w:val="-27"/>
                <w:sz w:val="24"/>
                <w:szCs w:val="24"/>
              </w:rPr>
              <w:t xml:space="preserve"> 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41" w:type="dxa"/>
            <w:vMerge w:val="restart"/>
            <w:vAlign w:val="center"/>
          </w:tcPr>
          <w:p>
            <w:pPr>
              <w:spacing w:before="224" w:line="181" w:lineRule="auto"/>
              <w:ind w:left="363"/>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2305" w:type="dxa"/>
            <w:vMerge w:val="restart"/>
            <w:vAlign w:val="center"/>
          </w:tcPr>
          <w:p>
            <w:pPr>
              <w:spacing w:before="175" w:line="222"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34"/>
                <w:sz w:val="24"/>
                <w:szCs w:val="24"/>
              </w:rPr>
              <w:t>三</w:t>
            </w:r>
            <w:r>
              <w:rPr>
                <w:rFonts w:hint="eastAsia" w:ascii="仿宋_GB2312" w:hAnsi="仿宋_GB2312" w:eastAsia="仿宋_GB2312" w:cs="仿宋_GB2312"/>
                <w:color w:val="auto"/>
                <w:spacing w:val="-33"/>
                <w:sz w:val="24"/>
                <w:szCs w:val="24"/>
              </w:rPr>
              <w:t>卜树村</w:t>
            </w:r>
          </w:p>
        </w:tc>
        <w:tc>
          <w:tcPr>
            <w:tcW w:w="3666" w:type="dxa"/>
            <w:vAlign w:val="top"/>
          </w:tcPr>
          <w:p>
            <w:pPr>
              <w:spacing w:before="176" w:line="223" w:lineRule="auto"/>
              <w:ind w:left="1571"/>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风</w:t>
            </w:r>
            <w:r>
              <w:rPr>
                <w:rFonts w:hint="eastAsia" w:ascii="仿宋_GB2312" w:hAnsi="仿宋_GB2312" w:eastAsia="仿宋_GB2312" w:cs="仿宋_GB2312"/>
                <w:color w:val="auto"/>
                <w:spacing w:val="-9"/>
                <w:sz w:val="24"/>
                <w:szCs w:val="24"/>
              </w:rPr>
              <w:t>机</w:t>
            </w:r>
          </w:p>
        </w:tc>
        <w:tc>
          <w:tcPr>
            <w:tcW w:w="1714" w:type="dxa"/>
            <w:vAlign w:val="top"/>
          </w:tcPr>
          <w:p>
            <w:pPr>
              <w:spacing w:before="175" w:line="222" w:lineRule="auto"/>
              <w:ind w:left="617"/>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4 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41" w:type="dxa"/>
            <w:vMerge w:val="continue"/>
            <w:vAlign w:val="top"/>
          </w:tcPr>
          <w:p>
            <w:pPr>
              <w:rPr>
                <w:rFonts w:hint="eastAsia" w:ascii="仿宋_GB2312" w:hAnsi="仿宋_GB2312" w:eastAsia="仿宋_GB2312" w:cs="仿宋_GB2312"/>
                <w:color w:val="auto"/>
                <w:sz w:val="24"/>
                <w:szCs w:val="24"/>
              </w:rPr>
            </w:pPr>
          </w:p>
        </w:tc>
        <w:tc>
          <w:tcPr>
            <w:tcW w:w="2305" w:type="dxa"/>
            <w:vMerge w:val="continue"/>
            <w:vAlign w:val="top"/>
          </w:tcPr>
          <w:p>
            <w:pPr>
              <w:rPr>
                <w:rFonts w:hint="eastAsia" w:ascii="仿宋_GB2312" w:hAnsi="仿宋_GB2312" w:eastAsia="仿宋_GB2312" w:cs="仿宋_GB2312"/>
                <w:color w:val="auto"/>
                <w:sz w:val="24"/>
                <w:szCs w:val="24"/>
              </w:rPr>
            </w:pPr>
          </w:p>
        </w:tc>
        <w:tc>
          <w:tcPr>
            <w:tcW w:w="3666" w:type="dxa"/>
            <w:vAlign w:val="top"/>
          </w:tcPr>
          <w:p>
            <w:pPr>
              <w:spacing w:before="176" w:line="224" w:lineRule="auto"/>
              <w:ind w:left="131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7"/>
                <w:sz w:val="24"/>
                <w:szCs w:val="24"/>
              </w:rPr>
              <w:t>2</w:t>
            </w:r>
            <w:r>
              <w:rPr>
                <w:rFonts w:hint="eastAsia" w:ascii="仿宋_GB2312" w:hAnsi="仿宋_GB2312" w:eastAsia="仿宋_GB2312" w:cs="仿宋_GB2312"/>
                <w:color w:val="auto"/>
                <w:spacing w:val="-16"/>
                <w:sz w:val="24"/>
                <w:szCs w:val="24"/>
              </w:rPr>
              <w:t xml:space="preserve"> 号工具</w:t>
            </w:r>
          </w:p>
        </w:tc>
        <w:tc>
          <w:tcPr>
            <w:tcW w:w="1714" w:type="dxa"/>
            <w:vAlign w:val="top"/>
          </w:tcPr>
          <w:p>
            <w:pPr>
              <w:spacing w:before="176" w:line="225" w:lineRule="auto"/>
              <w:ind w:left="55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7"/>
                <w:sz w:val="24"/>
                <w:szCs w:val="24"/>
              </w:rPr>
              <w:t>2</w:t>
            </w:r>
            <w:r>
              <w:rPr>
                <w:rFonts w:hint="eastAsia" w:ascii="仿宋_GB2312" w:hAnsi="仿宋_GB2312" w:eastAsia="仿宋_GB2312" w:cs="仿宋_GB2312"/>
                <w:color w:val="auto"/>
                <w:spacing w:val="-16"/>
                <w:sz w:val="24"/>
                <w:szCs w:val="24"/>
              </w:rPr>
              <w:t>0 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41" w:type="dxa"/>
            <w:vMerge w:val="continue"/>
            <w:vAlign w:val="top"/>
          </w:tcPr>
          <w:p>
            <w:pPr>
              <w:rPr>
                <w:rFonts w:hint="eastAsia" w:ascii="仿宋_GB2312" w:hAnsi="仿宋_GB2312" w:eastAsia="仿宋_GB2312" w:cs="仿宋_GB2312"/>
                <w:color w:val="auto"/>
                <w:sz w:val="24"/>
                <w:szCs w:val="24"/>
              </w:rPr>
            </w:pPr>
          </w:p>
        </w:tc>
        <w:tc>
          <w:tcPr>
            <w:tcW w:w="2305" w:type="dxa"/>
            <w:vMerge w:val="continue"/>
            <w:vAlign w:val="top"/>
          </w:tcPr>
          <w:p>
            <w:pPr>
              <w:rPr>
                <w:rFonts w:hint="eastAsia" w:ascii="仿宋_GB2312" w:hAnsi="仿宋_GB2312" w:eastAsia="仿宋_GB2312" w:cs="仿宋_GB2312"/>
                <w:color w:val="auto"/>
                <w:sz w:val="24"/>
                <w:szCs w:val="24"/>
              </w:rPr>
            </w:pPr>
          </w:p>
        </w:tc>
        <w:tc>
          <w:tcPr>
            <w:tcW w:w="3666" w:type="dxa"/>
            <w:vAlign w:val="top"/>
          </w:tcPr>
          <w:p>
            <w:pPr>
              <w:spacing w:before="174" w:line="224" w:lineRule="auto"/>
              <w:ind w:left="1431"/>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6"/>
                <w:sz w:val="24"/>
                <w:szCs w:val="24"/>
              </w:rPr>
              <w:t>灭火器</w:t>
            </w:r>
          </w:p>
        </w:tc>
        <w:tc>
          <w:tcPr>
            <w:tcW w:w="1714" w:type="dxa"/>
            <w:vAlign w:val="top"/>
          </w:tcPr>
          <w:p>
            <w:pPr>
              <w:spacing w:before="174" w:line="224" w:lineRule="auto"/>
              <w:ind w:left="6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2"/>
                <w:sz w:val="24"/>
                <w:szCs w:val="24"/>
              </w:rPr>
              <w:t>6</w:t>
            </w:r>
            <w:r>
              <w:rPr>
                <w:rFonts w:hint="eastAsia" w:ascii="仿宋_GB2312" w:hAnsi="仿宋_GB2312" w:eastAsia="仿宋_GB2312" w:cs="仿宋_GB2312"/>
                <w:color w:val="auto"/>
                <w:spacing w:val="-20"/>
                <w:sz w:val="24"/>
                <w:szCs w:val="24"/>
              </w:rPr>
              <w:t xml:space="preserve"> 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41" w:type="dxa"/>
            <w:vMerge w:val="continue"/>
            <w:vAlign w:val="top"/>
          </w:tcPr>
          <w:p>
            <w:pPr>
              <w:rPr>
                <w:rFonts w:hint="eastAsia" w:ascii="仿宋_GB2312" w:hAnsi="仿宋_GB2312" w:eastAsia="仿宋_GB2312" w:cs="仿宋_GB2312"/>
                <w:color w:val="auto"/>
                <w:sz w:val="24"/>
                <w:szCs w:val="24"/>
              </w:rPr>
            </w:pPr>
          </w:p>
        </w:tc>
        <w:tc>
          <w:tcPr>
            <w:tcW w:w="2305" w:type="dxa"/>
            <w:vMerge w:val="continue"/>
            <w:vAlign w:val="top"/>
          </w:tcPr>
          <w:p>
            <w:pPr>
              <w:rPr>
                <w:rFonts w:hint="eastAsia" w:ascii="仿宋_GB2312" w:hAnsi="仿宋_GB2312" w:eastAsia="仿宋_GB2312" w:cs="仿宋_GB2312"/>
                <w:color w:val="auto"/>
                <w:sz w:val="24"/>
                <w:szCs w:val="24"/>
              </w:rPr>
            </w:pPr>
          </w:p>
        </w:tc>
        <w:tc>
          <w:tcPr>
            <w:tcW w:w="3666" w:type="dxa"/>
            <w:vAlign w:val="top"/>
          </w:tcPr>
          <w:p>
            <w:pPr>
              <w:spacing w:before="176" w:line="222" w:lineRule="auto"/>
              <w:ind w:left="143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7"/>
                <w:sz w:val="24"/>
                <w:szCs w:val="24"/>
              </w:rPr>
              <w:t>竹</w:t>
            </w:r>
            <w:r>
              <w:rPr>
                <w:rFonts w:hint="eastAsia" w:ascii="仿宋_GB2312" w:hAnsi="仿宋_GB2312" w:eastAsia="仿宋_GB2312" w:cs="仿宋_GB2312"/>
                <w:color w:val="auto"/>
                <w:spacing w:val="-6"/>
                <w:sz w:val="24"/>
                <w:szCs w:val="24"/>
              </w:rPr>
              <w:t>扫帚</w:t>
            </w:r>
          </w:p>
        </w:tc>
        <w:tc>
          <w:tcPr>
            <w:tcW w:w="1714" w:type="dxa"/>
            <w:vAlign w:val="top"/>
          </w:tcPr>
          <w:p>
            <w:pPr>
              <w:spacing w:before="176" w:line="224" w:lineRule="auto"/>
              <w:ind w:left="55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9"/>
                <w:sz w:val="24"/>
                <w:szCs w:val="24"/>
              </w:rPr>
              <w:t>2</w:t>
            </w:r>
            <w:r>
              <w:rPr>
                <w:rFonts w:hint="eastAsia" w:ascii="仿宋_GB2312" w:hAnsi="仿宋_GB2312" w:eastAsia="仿宋_GB2312" w:cs="仿宋_GB2312"/>
                <w:color w:val="auto"/>
                <w:spacing w:val="-15"/>
                <w:sz w:val="24"/>
                <w:szCs w:val="24"/>
              </w:rPr>
              <w:t>0 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41" w:type="dxa"/>
            <w:vMerge w:val="continue"/>
            <w:vAlign w:val="top"/>
          </w:tcPr>
          <w:p>
            <w:pPr>
              <w:rPr>
                <w:rFonts w:hint="eastAsia" w:ascii="仿宋_GB2312" w:hAnsi="仿宋_GB2312" w:eastAsia="仿宋_GB2312" w:cs="仿宋_GB2312"/>
                <w:color w:val="auto"/>
                <w:sz w:val="24"/>
                <w:szCs w:val="24"/>
              </w:rPr>
            </w:pPr>
          </w:p>
        </w:tc>
        <w:tc>
          <w:tcPr>
            <w:tcW w:w="2305" w:type="dxa"/>
            <w:vMerge w:val="continue"/>
            <w:vAlign w:val="top"/>
          </w:tcPr>
          <w:p>
            <w:pPr>
              <w:rPr>
                <w:rFonts w:hint="eastAsia" w:ascii="仿宋_GB2312" w:hAnsi="仿宋_GB2312" w:eastAsia="仿宋_GB2312" w:cs="仿宋_GB2312"/>
                <w:color w:val="auto"/>
                <w:sz w:val="24"/>
                <w:szCs w:val="24"/>
              </w:rPr>
            </w:pPr>
          </w:p>
        </w:tc>
        <w:tc>
          <w:tcPr>
            <w:tcW w:w="3666" w:type="dxa"/>
            <w:vAlign w:val="top"/>
          </w:tcPr>
          <w:p>
            <w:pPr>
              <w:spacing w:before="177" w:line="224" w:lineRule="auto"/>
              <w:ind w:left="157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铁</w:t>
            </w:r>
            <w:r>
              <w:rPr>
                <w:rFonts w:hint="eastAsia" w:ascii="仿宋_GB2312" w:hAnsi="仿宋_GB2312" w:eastAsia="仿宋_GB2312" w:cs="仿宋_GB2312"/>
                <w:color w:val="auto"/>
                <w:spacing w:val="-10"/>
                <w:sz w:val="24"/>
                <w:szCs w:val="24"/>
              </w:rPr>
              <w:t>锹</w:t>
            </w:r>
          </w:p>
        </w:tc>
        <w:tc>
          <w:tcPr>
            <w:tcW w:w="1714" w:type="dxa"/>
            <w:vAlign w:val="top"/>
          </w:tcPr>
          <w:p>
            <w:pPr>
              <w:spacing w:before="177" w:line="225" w:lineRule="auto"/>
              <w:ind w:left="55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9"/>
                <w:sz w:val="24"/>
                <w:szCs w:val="24"/>
              </w:rPr>
              <w:t>3</w:t>
            </w:r>
            <w:r>
              <w:rPr>
                <w:rFonts w:hint="eastAsia" w:ascii="仿宋_GB2312" w:hAnsi="仿宋_GB2312" w:eastAsia="仿宋_GB2312" w:cs="仿宋_GB2312"/>
                <w:color w:val="auto"/>
                <w:spacing w:val="-16"/>
                <w:sz w:val="24"/>
                <w:szCs w:val="24"/>
              </w:rPr>
              <w:t>5 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41" w:type="dxa"/>
            <w:vMerge w:val="continue"/>
            <w:vAlign w:val="top"/>
          </w:tcPr>
          <w:p>
            <w:pPr>
              <w:rPr>
                <w:rFonts w:hint="eastAsia" w:ascii="仿宋_GB2312" w:hAnsi="仿宋_GB2312" w:eastAsia="仿宋_GB2312" w:cs="仿宋_GB2312"/>
                <w:color w:val="auto"/>
                <w:sz w:val="24"/>
                <w:szCs w:val="24"/>
              </w:rPr>
            </w:pPr>
          </w:p>
        </w:tc>
        <w:tc>
          <w:tcPr>
            <w:tcW w:w="2305" w:type="dxa"/>
            <w:vMerge w:val="continue"/>
            <w:vAlign w:val="top"/>
          </w:tcPr>
          <w:p>
            <w:pPr>
              <w:rPr>
                <w:rFonts w:hint="eastAsia" w:ascii="仿宋_GB2312" w:hAnsi="仿宋_GB2312" w:eastAsia="仿宋_GB2312" w:cs="仿宋_GB2312"/>
                <w:color w:val="auto"/>
                <w:sz w:val="24"/>
                <w:szCs w:val="24"/>
              </w:rPr>
            </w:pPr>
          </w:p>
        </w:tc>
        <w:tc>
          <w:tcPr>
            <w:tcW w:w="3666" w:type="dxa"/>
            <w:vAlign w:val="top"/>
          </w:tcPr>
          <w:p>
            <w:pPr>
              <w:spacing w:before="176" w:line="220" w:lineRule="auto"/>
              <w:ind w:left="1568"/>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水车</w:t>
            </w:r>
          </w:p>
        </w:tc>
        <w:tc>
          <w:tcPr>
            <w:tcW w:w="1714" w:type="dxa"/>
            <w:vAlign w:val="top"/>
          </w:tcPr>
          <w:p>
            <w:pPr>
              <w:spacing w:before="177" w:line="222" w:lineRule="auto"/>
              <w:ind w:left="62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3"/>
                <w:sz w:val="24"/>
                <w:szCs w:val="24"/>
              </w:rPr>
              <w:t>3</w:t>
            </w:r>
            <w:r>
              <w:rPr>
                <w:rFonts w:hint="eastAsia" w:ascii="仿宋_GB2312" w:hAnsi="仿宋_GB2312" w:eastAsia="仿宋_GB2312" w:cs="仿宋_GB2312"/>
                <w:color w:val="auto"/>
                <w:spacing w:val="-22"/>
                <w:sz w:val="24"/>
                <w:szCs w:val="24"/>
              </w:rPr>
              <w:t xml:space="preserve"> 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41" w:type="dxa"/>
            <w:vMerge w:val="continue"/>
            <w:vAlign w:val="top"/>
          </w:tcPr>
          <w:p>
            <w:pPr>
              <w:rPr>
                <w:rFonts w:hint="eastAsia" w:ascii="仿宋_GB2312" w:hAnsi="仿宋_GB2312" w:eastAsia="仿宋_GB2312" w:cs="仿宋_GB2312"/>
                <w:color w:val="auto"/>
                <w:sz w:val="24"/>
                <w:szCs w:val="24"/>
              </w:rPr>
            </w:pPr>
          </w:p>
        </w:tc>
        <w:tc>
          <w:tcPr>
            <w:tcW w:w="2305" w:type="dxa"/>
            <w:vMerge w:val="continue"/>
            <w:vAlign w:val="top"/>
          </w:tcPr>
          <w:p>
            <w:pPr>
              <w:rPr>
                <w:rFonts w:hint="eastAsia" w:ascii="仿宋_GB2312" w:hAnsi="仿宋_GB2312" w:eastAsia="仿宋_GB2312" w:cs="仿宋_GB2312"/>
                <w:color w:val="auto"/>
                <w:sz w:val="24"/>
                <w:szCs w:val="24"/>
              </w:rPr>
            </w:pPr>
          </w:p>
        </w:tc>
        <w:tc>
          <w:tcPr>
            <w:tcW w:w="3666" w:type="dxa"/>
            <w:vAlign w:val="top"/>
          </w:tcPr>
          <w:p>
            <w:pPr>
              <w:spacing w:before="176" w:line="220" w:lineRule="auto"/>
              <w:ind w:left="143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装</w:t>
            </w:r>
            <w:r>
              <w:rPr>
                <w:rFonts w:hint="eastAsia" w:ascii="仿宋_GB2312" w:hAnsi="仿宋_GB2312" w:eastAsia="仿宋_GB2312" w:cs="仿宋_GB2312"/>
                <w:color w:val="auto"/>
                <w:spacing w:val="-7"/>
                <w:sz w:val="24"/>
                <w:szCs w:val="24"/>
              </w:rPr>
              <w:t>载车</w:t>
            </w:r>
          </w:p>
        </w:tc>
        <w:tc>
          <w:tcPr>
            <w:tcW w:w="1714" w:type="dxa"/>
            <w:vAlign w:val="top"/>
          </w:tcPr>
          <w:p>
            <w:pPr>
              <w:spacing w:before="176" w:line="222" w:lineRule="auto"/>
              <w:ind w:left="621"/>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3"/>
                <w:sz w:val="24"/>
                <w:szCs w:val="24"/>
              </w:rPr>
              <w:t>2</w:t>
            </w:r>
            <w:r>
              <w:rPr>
                <w:rFonts w:hint="eastAsia" w:ascii="仿宋_GB2312" w:hAnsi="仿宋_GB2312" w:eastAsia="仿宋_GB2312" w:cs="仿宋_GB2312"/>
                <w:color w:val="auto"/>
                <w:spacing w:val="-21"/>
                <w:sz w:val="24"/>
                <w:szCs w:val="24"/>
              </w:rPr>
              <w:t xml:space="preserve"> 辆</w:t>
            </w:r>
          </w:p>
        </w:tc>
      </w:tr>
    </w:tbl>
    <w:p>
      <w:pPr>
        <w:rPr>
          <w:rFonts w:ascii="Arial"/>
          <w:color w:val="auto"/>
          <w:sz w:val="21"/>
        </w:rPr>
      </w:pPr>
    </w:p>
    <w:p>
      <w:pPr>
        <w:rPr>
          <w:color w:val="auto"/>
        </w:rPr>
        <w:sectPr>
          <w:pgSz w:w="11906" w:h="16839"/>
          <w:pgMar w:top="1431" w:right="1687" w:bottom="0" w:left="1687" w:header="0" w:footer="964" w:gutter="0"/>
          <w:pgBorders>
            <w:top w:val="none" w:sz="0" w:space="0"/>
            <w:left w:val="none" w:sz="0" w:space="0"/>
            <w:bottom w:val="none" w:sz="0" w:space="0"/>
            <w:right w:val="none" w:sz="0" w:space="0"/>
          </w:pgBorders>
          <w:pgNumType w:fmt="decimal"/>
          <w:cols w:space="720" w:num="1"/>
        </w:sectPr>
      </w:pPr>
    </w:p>
    <w:p>
      <w:pPr>
        <w:spacing w:line="91" w:lineRule="auto"/>
        <w:rPr>
          <w:rFonts w:ascii="Arial"/>
          <w:color w:val="auto"/>
          <w:sz w:val="2"/>
        </w:rPr>
      </w:pPr>
    </w:p>
    <w:tbl>
      <w:tblPr>
        <w:tblStyle w:val="2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1"/>
        <w:gridCol w:w="2305"/>
        <w:gridCol w:w="3666"/>
        <w:gridCol w:w="17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41" w:type="dxa"/>
            <w:vMerge w:val="restart"/>
            <w:vAlign w:val="center"/>
          </w:tcPr>
          <w:p>
            <w:pPr>
              <w:spacing w:before="225" w:line="181"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2305" w:type="dxa"/>
            <w:vMerge w:val="restart"/>
            <w:vAlign w:val="center"/>
          </w:tcPr>
          <w:p>
            <w:pPr>
              <w:spacing w:before="177" w:line="222"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沙</w:t>
            </w:r>
            <w:r>
              <w:rPr>
                <w:rFonts w:hint="eastAsia" w:ascii="仿宋_GB2312" w:hAnsi="仿宋_GB2312" w:eastAsia="仿宋_GB2312" w:cs="仿宋_GB2312"/>
                <w:color w:val="auto"/>
                <w:spacing w:val="-7"/>
                <w:sz w:val="24"/>
                <w:szCs w:val="24"/>
              </w:rPr>
              <w:t>梁村</w:t>
            </w:r>
          </w:p>
        </w:tc>
        <w:tc>
          <w:tcPr>
            <w:tcW w:w="3666" w:type="dxa"/>
            <w:vAlign w:val="top"/>
          </w:tcPr>
          <w:p>
            <w:pPr>
              <w:spacing w:before="176" w:line="224" w:lineRule="auto"/>
              <w:ind w:left="1431"/>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6"/>
                <w:sz w:val="24"/>
                <w:szCs w:val="24"/>
              </w:rPr>
              <w:t>灭火器</w:t>
            </w:r>
          </w:p>
        </w:tc>
        <w:tc>
          <w:tcPr>
            <w:tcW w:w="1714" w:type="dxa"/>
            <w:vAlign w:val="top"/>
          </w:tcPr>
          <w:p>
            <w:pPr>
              <w:spacing w:before="176" w:line="224" w:lineRule="auto"/>
              <w:ind w:left="547"/>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7"/>
                <w:sz w:val="24"/>
                <w:szCs w:val="24"/>
              </w:rPr>
              <w:t>4</w:t>
            </w:r>
            <w:r>
              <w:rPr>
                <w:rFonts w:hint="eastAsia" w:ascii="仿宋_GB2312" w:hAnsi="仿宋_GB2312" w:eastAsia="仿宋_GB2312" w:cs="仿宋_GB2312"/>
                <w:color w:val="auto"/>
                <w:spacing w:val="-14"/>
                <w:sz w:val="24"/>
                <w:szCs w:val="24"/>
              </w:rPr>
              <w:t>0 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41" w:type="dxa"/>
            <w:vMerge w:val="continue"/>
            <w:vAlign w:val="center"/>
          </w:tcPr>
          <w:p>
            <w:pPr>
              <w:jc w:val="center"/>
              <w:rPr>
                <w:rFonts w:hint="eastAsia" w:ascii="仿宋_GB2312" w:hAnsi="仿宋_GB2312" w:eastAsia="仿宋_GB2312" w:cs="仿宋_GB2312"/>
                <w:color w:val="auto"/>
                <w:sz w:val="24"/>
                <w:szCs w:val="24"/>
              </w:rPr>
            </w:pPr>
          </w:p>
        </w:tc>
        <w:tc>
          <w:tcPr>
            <w:tcW w:w="2305" w:type="dxa"/>
            <w:vMerge w:val="continue"/>
            <w:vAlign w:val="center"/>
          </w:tcPr>
          <w:p>
            <w:pPr>
              <w:jc w:val="center"/>
              <w:rPr>
                <w:rFonts w:hint="eastAsia" w:ascii="仿宋_GB2312" w:hAnsi="仿宋_GB2312" w:eastAsia="仿宋_GB2312" w:cs="仿宋_GB2312"/>
                <w:color w:val="auto"/>
                <w:sz w:val="24"/>
                <w:szCs w:val="24"/>
              </w:rPr>
            </w:pPr>
          </w:p>
        </w:tc>
        <w:tc>
          <w:tcPr>
            <w:tcW w:w="3666" w:type="dxa"/>
            <w:vAlign w:val="top"/>
          </w:tcPr>
          <w:p>
            <w:pPr>
              <w:spacing w:before="172" w:line="223" w:lineRule="auto"/>
              <w:ind w:left="1571"/>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风</w:t>
            </w:r>
            <w:r>
              <w:rPr>
                <w:rFonts w:hint="eastAsia" w:ascii="仿宋_GB2312" w:hAnsi="仿宋_GB2312" w:eastAsia="仿宋_GB2312" w:cs="仿宋_GB2312"/>
                <w:color w:val="auto"/>
                <w:spacing w:val="-9"/>
                <w:sz w:val="24"/>
                <w:szCs w:val="24"/>
              </w:rPr>
              <w:t>机</w:t>
            </w:r>
          </w:p>
        </w:tc>
        <w:tc>
          <w:tcPr>
            <w:tcW w:w="1714" w:type="dxa"/>
            <w:vAlign w:val="top"/>
          </w:tcPr>
          <w:p>
            <w:pPr>
              <w:spacing w:before="171" w:line="222" w:lineRule="auto"/>
              <w:ind w:left="617"/>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4 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1" w:type="dxa"/>
            <w:vMerge w:val="continue"/>
            <w:vAlign w:val="center"/>
          </w:tcPr>
          <w:p>
            <w:pPr>
              <w:jc w:val="center"/>
              <w:rPr>
                <w:rFonts w:hint="eastAsia" w:ascii="仿宋_GB2312" w:hAnsi="仿宋_GB2312" w:eastAsia="仿宋_GB2312" w:cs="仿宋_GB2312"/>
                <w:color w:val="auto"/>
                <w:sz w:val="24"/>
                <w:szCs w:val="24"/>
              </w:rPr>
            </w:pPr>
          </w:p>
        </w:tc>
        <w:tc>
          <w:tcPr>
            <w:tcW w:w="2305" w:type="dxa"/>
            <w:vMerge w:val="continue"/>
            <w:vAlign w:val="center"/>
          </w:tcPr>
          <w:p>
            <w:pPr>
              <w:jc w:val="center"/>
              <w:rPr>
                <w:rFonts w:hint="eastAsia" w:ascii="仿宋_GB2312" w:hAnsi="仿宋_GB2312" w:eastAsia="仿宋_GB2312" w:cs="仿宋_GB2312"/>
                <w:color w:val="auto"/>
                <w:sz w:val="24"/>
                <w:szCs w:val="24"/>
              </w:rPr>
            </w:pPr>
          </w:p>
        </w:tc>
        <w:tc>
          <w:tcPr>
            <w:tcW w:w="3666" w:type="dxa"/>
            <w:vAlign w:val="top"/>
          </w:tcPr>
          <w:p>
            <w:pPr>
              <w:spacing w:before="171" w:line="222" w:lineRule="auto"/>
              <w:ind w:left="1568"/>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扫帚</w:t>
            </w:r>
          </w:p>
        </w:tc>
        <w:tc>
          <w:tcPr>
            <w:tcW w:w="1714" w:type="dxa"/>
            <w:vAlign w:val="top"/>
          </w:tcPr>
          <w:p>
            <w:pPr>
              <w:spacing w:before="172" w:line="225" w:lineRule="auto"/>
              <w:ind w:left="56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2"/>
                <w:sz w:val="24"/>
                <w:szCs w:val="24"/>
              </w:rPr>
              <w:t>1</w:t>
            </w:r>
            <w:r>
              <w:rPr>
                <w:rFonts w:hint="eastAsia" w:ascii="仿宋_GB2312" w:hAnsi="仿宋_GB2312" w:eastAsia="仿宋_GB2312" w:cs="仿宋_GB2312"/>
                <w:color w:val="auto"/>
                <w:spacing w:val="-20"/>
                <w:sz w:val="24"/>
                <w:szCs w:val="24"/>
              </w:rPr>
              <w:t>2 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41" w:type="dxa"/>
            <w:vMerge w:val="continue"/>
            <w:vAlign w:val="center"/>
          </w:tcPr>
          <w:p>
            <w:pPr>
              <w:jc w:val="center"/>
              <w:rPr>
                <w:rFonts w:hint="eastAsia" w:ascii="仿宋_GB2312" w:hAnsi="仿宋_GB2312" w:eastAsia="仿宋_GB2312" w:cs="仿宋_GB2312"/>
                <w:color w:val="auto"/>
                <w:sz w:val="24"/>
                <w:szCs w:val="24"/>
              </w:rPr>
            </w:pPr>
          </w:p>
        </w:tc>
        <w:tc>
          <w:tcPr>
            <w:tcW w:w="2305" w:type="dxa"/>
            <w:vMerge w:val="continue"/>
            <w:vAlign w:val="center"/>
          </w:tcPr>
          <w:p>
            <w:pPr>
              <w:jc w:val="center"/>
              <w:rPr>
                <w:rFonts w:hint="eastAsia" w:ascii="仿宋_GB2312" w:hAnsi="仿宋_GB2312" w:eastAsia="仿宋_GB2312" w:cs="仿宋_GB2312"/>
                <w:color w:val="auto"/>
                <w:sz w:val="24"/>
                <w:szCs w:val="24"/>
              </w:rPr>
            </w:pPr>
          </w:p>
        </w:tc>
        <w:tc>
          <w:tcPr>
            <w:tcW w:w="3666" w:type="dxa"/>
            <w:vAlign w:val="top"/>
          </w:tcPr>
          <w:p>
            <w:pPr>
              <w:spacing w:before="173" w:line="224" w:lineRule="auto"/>
              <w:ind w:left="157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铁</w:t>
            </w:r>
            <w:r>
              <w:rPr>
                <w:rFonts w:hint="eastAsia" w:ascii="仿宋_GB2312" w:hAnsi="仿宋_GB2312" w:eastAsia="仿宋_GB2312" w:cs="仿宋_GB2312"/>
                <w:color w:val="auto"/>
                <w:spacing w:val="-10"/>
                <w:sz w:val="24"/>
                <w:szCs w:val="24"/>
              </w:rPr>
              <w:t>锹</w:t>
            </w:r>
          </w:p>
        </w:tc>
        <w:tc>
          <w:tcPr>
            <w:tcW w:w="1714" w:type="dxa"/>
            <w:vAlign w:val="top"/>
          </w:tcPr>
          <w:p>
            <w:pPr>
              <w:spacing w:before="173" w:line="225" w:lineRule="auto"/>
              <w:ind w:left="55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7"/>
                <w:sz w:val="24"/>
                <w:szCs w:val="24"/>
              </w:rPr>
              <w:t>2</w:t>
            </w:r>
            <w:r>
              <w:rPr>
                <w:rFonts w:hint="eastAsia" w:ascii="仿宋_GB2312" w:hAnsi="仿宋_GB2312" w:eastAsia="仿宋_GB2312" w:cs="仿宋_GB2312"/>
                <w:color w:val="auto"/>
                <w:spacing w:val="-16"/>
                <w:sz w:val="24"/>
                <w:szCs w:val="24"/>
              </w:rPr>
              <w:t>0 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1" w:type="dxa"/>
            <w:vMerge w:val="continue"/>
            <w:vAlign w:val="center"/>
          </w:tcPr>
          <w:p>
            <w:pPr>
              <w:jc w:val="center"/>
              <w:rPr>
                <w:rFonts w:hint="eastAsia" w:ascii="仿宋_GB2312" w:hAnsi="仿宋_GB2312" w:eastAsia="仿宋_GB2312" w:cs="仿宋_GB2312"/>
                <w:color w:val="auto"/>
                <w:sz w:val="24"/>
                <w:szCs w:val="24"/>
              </w:rPr>
            </w:pPr>
          </w:p>
        </w:tc>
        <w:tc>
          <w:tcPr>
            <w:tcW w:w="2305" w:type="dxa"/>
            <w:vMerge w:val="continue"/>
            <w:vAlign w:val="center"/>
          </w:tcPr>
          <w:p>
            <w:pPr>
              <w:jc w:val="center"/>
              <w:rPr>
                <w:rFonts w:hint="eastAsia" w:ascii="仿宋_GB2312" w:hAnsi="仿宋_GB2312" w:eastAsia="仿宋_GB2312" w:cs="仿宋_GB2312"/>
                <w:color w:val="auto"/>
                <w:sz w:val="24"/>
                <w:szCs w:val="24"/>
              </w:rPr>
            </w:pPr>
          </w:p>
        </w:tc>
        <w:tc>
          <w:tcPr>
            <w:tcW w:w="3666" w:type="dxa"/>
            <w:vAlign w:val="top"/>
          </w:tcPr>
          <w:p>
            <w:pPr>
              <w:spacing w:before="172" w:line="220" w:lineRule="auto"/>
              <w:ind w:left="1568"/>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水车</w:t>
            </w:r>
          </w:p>
        </w:tc>
        <w:tc>
          <w:tcPr>
            <w:tcW w:w="1714" w:type="dxa"/>
            <w:vAlign w:val="top"/>
          </w:tcPr>
          <w:p>
            <w:pPr>
              <w:spacing w:before="172" w:line="222" w:lineRule="auto"/>
              <w:ind w:left="63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8"/>
                <w:sz w:val="24"/>
                <w:szCs w:val="24"/>
              </w:rPr>
              <w:t>1</w:t>
            </w:r>
            <w:r>
              <w:rPr>
                <w:rFonts w:hint="eastAsia" w:ascii="仿宋_GB2312" w:hAnsi="仿宋_GB2312" w:eastAsia="仿宋_GB2312" w:cs="仿宋_GB2312"/>
                <w:color w:val="auto"/>
                <w:spacing w:val="-27"/>
                <w:sz w:val="24"/>
                <w:szCs w:val="24"/>
              </w:rPr>
              <w:t xml:space="preserve"> 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41" w:type="dxa"/>
            <w:vMerge w:val="continue"/>
            <w:vAlign w:val="center"/>
          </w:tcPr>
          <w:p>
            <w:pPr>
              <w:jc w:val="center"/>
              <w:rPr>
                <w:rFonts w:hint="eastAsia" w:ascii="仿宋_GB2312" w:hAnsi="仿宋_GB2312" w:eastAsia="仿宋_GB2312" w:cs="仿宋_GB2312"/>
                <w:color w:val="auto"/>
                <w:sz w:val="24"/>
                <w:szCs w:val="24"/>
              </w:rPr>
            </w:pPr>
          </w:p>
        </w:tc>
        <w:tc>
          <w:tcPr>
            <w:tcW w:w="2305" w:type="dxa"/>
            <w:vMerge w:val="continue"/>
            <w:vAlign w:val="center"/>
          </w:tcPr>
          <w:p>
            <w:pPr>
              <w:jc w:val="center"/>
              <w:rPr>
                <w:rFonts w:hint="eastAsia" w:ascii="仿宋_GB2312" w:hAnsi="仿宋_GB2312" w:eastAsia="仿宋_GB2312" w:cs="仿宋_GB2312"/>
                <w:color w:val="auto"/>
                <w:sz w:val="24"/>
                <w:szCs w:val="24"/>
              </w:rPr>
            </w:pPr>
          </w:p>
        </w:tc>
        <w:tc>
          <w:tcPr>
            <w:tcW w:w="3666" w:type="dxa"/>
            <w:vAlign w:val="top"/>
          </w:tcPr>
          <w:p>
            <w:pPr>
              <w:spacing w:before="175" w:line="220" w:lineRule="auto"/>
              <w:ind w:left="143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装</w:t>
            </w:r>
            <w:r>
              <w:rPr>
                <w:rFonts w:hint="eastAsia" w:ascii="仿宋_GB2312" w:hAnsi="仿宋_GB2312" w:eastAsia="仿宋_GB2312" w:cs="仿宋_GB2312"/>
                <w:color w:val="auto"/>
                <w:spacing w:val="-7"/>
                <w:sz w:val="24"/>
                <w:szCs w:val="24"/>
              </w:rPr>
              <w:t>载车</w:t>
            </w:r>
          </w:p>
        </w:tc>
        <w:tc>
          <w:tcPr>
            <w:tcW w:w="1714" w:type="dxa"/>
            <w:vAlign w:val="top"/>
          </w:tcPr>
          <w:p>
            <w:pPr>
              <w:spacing w:before="175" w:line="222" w:lineRule="auto"/>
              <w:ind w:left="63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8"/>
                <w:sz w:val="24"/>
                <w:szCs w:val="24"/>
              </w:rPr>
              <w:t>1</w:t>
            </w:r>
            <w:r>
              <w:rPr>
                <w:rFonts w:hint="eastAsia" w:ascii="仿宋_GB2312" w:hAnsi="仿宋_GB2312" w:eastAsia="仿宋_GB2312" w:cs="仿宋_GB2312"/>
                <w:color w:val="auto"/>
                <w:spacing w:val="-27"/>
                <w:sz w:val="24"/>
                <w:szCs w:val="24"/>
              </w:rPr>
              <w:t xml:space="preserve"> 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41" w:type="dxa"/>
            <w:vMerge w:val="restart"/>
            <w:vAlign w:val="center"/>
          </w:tcPr>
          <w:p>
            <w:pPr>
              <w:spacing w:before="226" w:line="179"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2305" w:type="dxa"/>
            <w:vMerge w:val="restart"/>
            <w:vAlign w:val="center"/>
          </w:tcPr>
          <w:p>
            <w:pPr>
              <w:spacing w:before="175" w:line="224"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pacing w:val="-12"/>
                <w:sz w:val="24"/>
                <w:szCs w:val="24"/>
              </w:rPr>
              <w:t>生</w:t>
            </w:r>
            <w:r>
              <w:rPr>
                <w:rFonts w:hint="eastAsia" w:ascii="仿宋_GB2312" w:hAnsi="仿宋_GB2312" w:eastAsia="仿宋_GB2312" w:cs="仿宋_GB2312"/>
                <w:color w:val="auto"/>
                <w:spacing w:val="-11"/>
                <w:sz w:val="24"/>
                <w:szCs w:val="24"/>
              </w:rPr>
              <w:t>盖营</w:t>
            </w:r>
            <w:r>
              <w:rPr>
                <w:rFonts w:hint="eastAsia" w:ascii="仿宋_GB2312" w:hAnsi="仿宋_GB2312" w:eastAsia="仿宋_GB2312" w:cs="仿宋_GB2312"/>
                <w:color w:val="auto"/>
                <w:spacing w:val="-11"/>
                <w:sz w:val="24"/>
                <w:szCs w:val="24"/>
                <w:lang w:val="en-US" w:eastAsia="zh-CN"/>
              </w:rPr>
              <w:t>村</w:t>
            </w:r>
          </w:p>
        </w:tc>
        <w:tc>
          <w:tcPr>
            <w:tcW w:w="3666" w:type="dxa"/>
            <w:vAlign w:val="top"/>
          </w:tcPr>
          <w:p>
            <w:pPr>
              <w:spacing w:before="175" w:line="223" w:lineRule="auto"/>
              <w:ind w:left="1571"/>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风</w:t>
            </w:r>
            <w:r>
              <w:rPr>
                <w:rFonts w:hint="eastAsia" w:ascii="仿宋_GB2312" w:hAnsi="仿宋_GB2312" w:eastAsia="仿宋_GB2312" w:cs="仿宋_GB2312"/>
                <w:color w:val="auto"/>
                <w:spacing w:val="-9"/>
                <w:sz w:val="24"/>
                <w:szCs w:val="24"/>
              </w:rPr>
              <w:t>机</w:t>
            </w:r>
          </w:p>
        </w:tc>
        <w:tc>
          <w:tcPr>
            <w:tcW w:w="1714" w:type="dxa"/>
            <w:vAlign w:val="top"/>
          </w:tcPr>
          <w:p>
            <w:pPr>
              <w:spacing w:before="174" w:line="222" w:lineRule="auto"/>
              <w:ind w:left="617"/>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4 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1" w:type="dxa"/>
            <w:vMerge w:val="continue"/>
            <w:vAlign w:val="center"/>
          </w:tcPr>
          <w:p>
            <w:pPr>
              <w:jc w:val="center"/>
              <w:rPr>
                <w:rFonts w:hint="eastAsia" w:ascii="仿宋_GB2312" w:hAnsi="仿宋_GB2312" w:eastAsia="仿宋_GB2312" w:cs="仿宋_GB2312"/>
                <w:color w:val="auto"/>
                <w:sz w:val="24"/>
                <w:szCs w:val="24"/>
              </w:rPr>
            </w:pPr>
          </w:p>
        </w:tc>
        <w:tc>
          <w:tcPr>
            <w:tcW w:w="2305" w:type="dxa"/>
            <w:vMerge w:val="continue"/>
            <w:vAlign w:val="center"/>
          </w:tcPr>
          <w:p>
            <w:pPr>
              <w:jc w:val="center"/>
              <w:rPr>
                <w:rFonts w:hint="eastAsia" w:ascii="仿宋_GB2312" w:hAnsi="仿宋_GB2312" w:eastAsia="仿宋_GB2312" w:cs="仿宋_GB2312"/>
                <w:color w:val="auto"/>
                <w:sz w:val="24"/>
                <w:szCs w:val="24"/>
              </w:rPr>
            </w:pPr>
          </w:p>
        </w:tc>
        <w:tc>
          <w:tcPr>
            <w:tcW w:w="3666" w:type="dxa"/>
            <w:vAlign w:val="top"/>
          </w:tcPr>
          <w:p>
            <w:pPr>
              <w:spacing w:before="175" w:line="224" w:lineRule="auto"/>
              <w:ind w:left="131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7"/>
                <w:sz w:val="24"/>
                <w:szCs w:val="24"/>
              </w:rPr>
              <w:t>2</w:t>
            </w:r>
            <w:r>
              <w:rPr>
                <w:rFonts w:hint="eastAsia" w:ascii="仿宋_GB2312" w:hAnsi="仿宋_GB2312" w:eastAsia="仿宋_GB2312" w:cs="仿宋_GB2312"/>
                <w:color w:val="auto"/>
                <w:spacing w:val="-16"/>
                <w:sz w:val="24"/>
                <w:szCs w:val="24"/>
              </w:rPr>
              <w:t xml:space="preserve"> 号工具</w:t>
            </w:r>
          </w:p>
        </w:tc>
        <w:tc>
          <w:tcPr>
            <w:tcW w:w="1714" w:type="dxa"/>
            <w:vAlign w:val="top"/>
          </w:tcPr>
          <w:p>
            <w:pPr>
              <w:spacing w:before="174" w:line="225" w:lineRule="auto"/>
              <w:ind w:left="617"/>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1"/>
                <w:sz w:val="24"/>
                <w:szCs w:val="24"/>
              </w:rPr>
              <w:t>4</w:t>
            </w:r>
            <w:r>
              <w:rPr>
                <w:rFonts w:hint="eastAsia" w:ascii="仿宋_GB2312" w:hAnsi="仿宋_GB2312" w:eastAsia="仿宋_GB2312" w:cs="仿宋_GB2312"/>
                <w:color w:val="auto"/>
                <w:spacing w:val="-19"/>
                <w:sz w:val="24"/>
                <w:szCs w:val="24"/>
              </w:rPr>
              <w:t xml:space="preserve"> 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41" w:type="dxa"/>
            <w:vMerge w:val="continue"/>
            <w:vAlign w:val="center"/>
          </w:tcPr>
          <w:p>
            <w:pPr>
              <w:jc w:val="center"/>
              <w:rPr>
                <w:rFonts w:hint="eastAsia" w:ascii="仿宋_GB2312" w:hAnsi="仿宋_GB2312" w:eastAsia="仿宋_GB2312" w:cs="仿宋_GB2312"/>
                <w:color w:val="auto"/>
                <w:sz w:val="24"/>
                <w:szCs w:val="24"/>
              </w:rPr>
            </w:pPr>
          </w:p>
        </w:tc>
        <w:tc>
          <w:tcPr>
            <w:tcW w:w="2305" w:type="dxa"/>
            <w:vMerge w:val="continue"/>
            <w:vAlign w:val="center"/>
          </w:tcPr>
          <w:p>
            <w:pPr>
              <w:jc w:val="center"/>
              <w:rPr>
                <w:rFonts w:hint="eastAsia" w:ascii="仿宋_GB2312" w:hAnsi="仿宋_GB2312" w:eastAsia="仿宋_GB2312" w:cs="仿宋_GB2312"/>
                <w:color w:val="auto"/>
                <w:sz w:val="24"/>
                <w:szCs w:val="24"/>
              </w:rPr>
            </w:pPr>
          </w:p>
        </w:tc>
        <w:tc>
          <w:tcPr>
            <w:tcW w:w="3666" w:type="dxa"/>
            <w:vAlign w:val="top"/>
          </w:tcPr>
          <w:p>
            <w:pPr>
              <w:spacing w:before="175" w:line="220" w:lineRule="auto"/>
              <w:ind w:left="1568"/>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水车</w:t>
            </w:r>
          </w:p>
        </w:tc>
        <w:tc>
          <w:tcPr>
            <w:tcW w:w="1714" w:type="dxa"/>
            <w:vAlign w:val="top"/>
          </w:tcPr>
          <w:p>
            <w:pPr>
              <w:spacing w:before="175" w:line="222" w:lineRule="auto"/>
              <w:ind w:left="63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8"/>
                <w:sz w:val="24"/>
                <w:szCs w:val="24"/>
              </w:rPr>
              <w:t>1</w:t>
            </w:r>
            <w:r>
              <w:rPr>
                <w:rFonts w:hint="eastAsia" w:ascii="仿宋_GB2312" w:hAnsi="仿宋_GB2312" w:eastAsia="仿宋_GB2312" w:cs="仿宋_GB2312"/>
                <w:color w:val="auto"/>
                <w:spacing w:val="-27"/>
                <w:sz w:val="24"/>
                <w:szCs w:val="24"/>
              </w:rPr>
              <w:t xml:space="preserve"> 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41" w:type="dxa"/>
            <w:vMerge w:val="continue"/>
            <w:vAlign w:val="center"/>
          </w:tcPr>
          <w:p>
            <w:pPr>
              <w:jc w:val="center"/>
              <w:rPr>
                <w:rFonts w:hint="eastAsia" w:ascii="仿宋_GB2312" w:hAnsi="仿宋_GB2312" w:eastAsia="仿宋_GB2312" w:cs="仿宋_GB2312"/>
                <w:color w:val="auto"/>
                <w:sz w:val="24"/>
                <w:szCs w:val="24"/>
              </w:rPr>
            </w:pPr>
          </w:p>
        </w:tc>
        <w:tc>
          <w:tcPr>
            <w:tcW w:w="2305" w:type="dxa"/>
            <w:vMerge w:val="continue"/>
            <w:vAlign w:val="center"/>
          </w:tcPr>
          <w:p>
            <w:pPr>
              <w:jc w:val="center"/>
              <w:rPr>
                <w:rFonts w:hint="eastAsia" w:ascii="仿宋_GB2312" w:hAnsi="仿宋_GB2312" w:eastAsia="仿宋_GB2312" w:cs="仿宋_GB2312"/>
                <w:color w:val="auto"/>
                <w:sz w:val="24"/>
                <w:szCs w:val="24"/>
              </w:rPr>
            </w:pPr>
          </w:p>
        </w:tc>
        <w:tc>
          <w:tcPr>
            <w:tcW w:w="3666" w:type="dxa"/>
            <w:vAlign w:val="top"/>
          </w:tcPr>
          <w:p>
            <w:pPr>
              <w:spacing w:before="174" w:line="220" w:lineRule="auto"/>
              <w:ind w:left="143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装</w:t>
            </w:r>
            <w:r>
              <w:rPr>
                <w:rFonts w:hint="eastAsia" w:ascii="仿宋_GB2312" w:hAnsi="仿宋_GB2312" w:eastAsia="仿宋_GB2312" w:cs="仿宋_GB2312"/>
                <w:color w:val="auto"/>
                <w:spacing w:val="-7"/>
                <w:sz w:val="24"/>
                <w:szCs w:val="24"/>
              </w:rPr>
              <w:t>载车</w:t>
            </w:r>
          </w:p>
        </w:tc>
        <w:tc>
          <w:tcPr>
            <w:tcW w:w="1714" w:type="dxa"/>
            <w:vAlign w:val="top"/>
          </w:tcPr>
          <w:p>
            <w:pPr>
              <w:spacing w:before="175" w:line="222" w:lineRule="auto"/>
              <w:ind w:left="63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8"/>
                <w:sz w:val="24"/>
                <w:szCs w:val="24"/>
              </w:rPr>
              <w:t>1</w:t>
            </w:r>
            <w:r>
              <w:rPr>
                <w:rFonts w:hint="eastAsia" w:ascii="仿宋_GB2312" w:hAnsi="仿宋_GB2312" w:eastAsia="仿宋_GB2312" w:cs="仿宋_GB2312"/>
                <w:color w:val="auto"/>
                <w:spacing w:val="-27"/>
                <w:sz w:val="24"/>
                <w:szCs w:val="24"/>
              </w:rPr>
              <w:t xml:space="preserve"> 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41" w:type="dxa"/>
            <w:vMerge w:val="restart"/>
            <w:vAlign w:val="center"/>
          </w:tcPr>
          <w:p>
            <w:pPr>
              <w:spacing w:before="222" w:line="181"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2305" w:type="dxa"/>
            <w:vMerge w:val="restart"/>
            <w:vAlign w:val="center"/>
          </w:tcPr>
          <w:p>
            <w:pPr>
              <w:spacing w:before="175" w:line="224"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pacing w:val="-10"/>
                <w:sz w:val="24"/>
                <w:szCs w:val="24"/>
              </w:rPr>
              <w:t>哈拉更</w:t>
            </w:r>
            <w:r>
              <w:rPr>
                <w:rFonts w:hint="eastAsia" w:ascii="仿宋_GB2312" w:hAnsi="仿宋_GB2312" w:eastAsia="仿宋_GB2312" w:cs="仿宋_GB2312"/>
                <w:color w:val="auto"/>
                <w:spacing w:val="-10"/>
                <w:sz w:val="24"/>
                <w:szCs w:val="24"/>
                <w:lang w:val="en-US" w:eastAsia="zh-CN"/>
              </w:rPr>
              <w:t>村</w:t>
            </w:r>
          </w:p>
        </w:tc>
        <w:tc>
          <w:tcPr>
            <w:tcW w:w="3666" w:type="dxa"/>
            <w:vAlign w:val="top"/>
          </w:tcPr>
          <w:p>
            <w:pPr>
              <w:spacing w:before="174" w:line="223" w:lineRule="auto"/>
              <w:ind w:left="1571"/>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风</w:t>
            </w:r>
            <w:r>
              <w:rPr>
                <w:rFonts w:hint="eastAsia" w:ascii="仿宋_GB2312" w:hAnsi="仿宋_GB2312" w:eastAsia="仿宋_GB2312" w:cs="仿宋_GB2312"/>
                <w:color w:val="auto"/>
                <w:spacing w:val="-9"/>
                <w:sz w:val="24"/>
                <w:szCs w:val="24"/>
              </w:rPr>
              <w:t>机</w:t>
            </w:r>
          </w:p>
        </w:tc>
        <w:tc>
          <w:tcPr>
            <w:tcW w:w="1714" w:type="dxa"/>
            <w:vAlign w:val="top"/>
          </w:tcPr>
          <w:p>
            <w:pPr>
              <w:spacing w:before="173" w:line="222" w:lineRule="auto"/>
              <w:ind w:left="617"/>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4 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41" w:type="dxa"/>
            <w:vMerge w:val="continue"/>
            <w:vAlign w:val="center"/>
          </w:tcPr>
          <w:p>
            <w:pPr>
              <w:jc w:val="center"/>
              <w:rPr>
                <w:rFonts w:hint="eastAsia" w:ascii="仿宋_GB2312" w:hAnsi="仿宋_GB2312" w:eastAsia="仿宋_GB2312" w:cs="仿宋_GB2312"/>
                <w:color w:val="auto"/>
                <w:sz w:val="24"/>
                <w:szCs w:val="24"/>
              </w:rPr>
            </w:pPr>
          </w:p>
        </w:tc>
        <w:tc>
          <w:tcPr>
            <w:tcW w:w="2305" w:type="dxa"/>
            <w:vMerge w:val="continue"/>
            <w:vAlign w:val="center"/>
          </w:tcPr>
          <w:p>
            <w:pPr>
              <w:jc w:val="center"/>
              <w:rPr>
                <w:rFonts w:hint="eastAsia" w:ascii="仿宋_GB2312" w:hAnsi="仿宋_GB2312" w:eastAsia="仿宋_GB2312" w:cs="仿宋_GB2312"/>
                <w:color w:val="auto"/>
                <w:sz w:val="24"/>
                <w:szCs w:val="24"/>
              </w:rPr>
            </w:pPr>
          </w:p>
        </w:tc>
        <w:tc>
          <w:tcPr>
            <w:tcW w:w="3666" w:type="dxa"/>
            <w:vAlign w:val="top"/>
          </w:tcPr>
          <w:p>
            <w:pPr>
              <w:spacing w:before="177" w:line="224" w:lineRule="auto"/>
              <w:ind w:left="131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7"/>
                <w:sz w:val="24"/>
                <w:szCs w:val="24"/>
              </w:rPr>
              <w:t>2</w:t>
            </w:r>
            <w:r>
              <w:rPr>
                <w:rFonts w:hint="eastAsia" w:ascii="仿宋_GB2312" w:hAnsi="仿宋_GB2312" w:eastAsia="仿宋_GB2312" w:cs="仿宋_GB2312"/>
                <w:color w:val="auto"/>
                <w:spacing w:val="-16"/>
                <w:sz w:val="24"/>
                <w:szCs w:val="24"/>
              </w:rPr>
              <w:t xml:space="preserve"> 号工具</w:t>
            </w:r>
          </w:p>
        </w:tc>
        <w:tc>
          <w:tcPr>
            <w:tcW w:w="1714" w:type="dxa"/>
            <w:vAlign w:val="top"/>
          </w:tcPr>
          <w:p>
            <w:pPr>
              <w:spacing w:before="176" w:line="225" w:lineRule="auto"/>
              <w:ind w:left="617"/>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1"/>
                <w:sz w:val="24"/>
                <w:szCs w:val="24"/>
              </w:rPr>
              <w:t>4</w:t>
            </w:r>
            <w:r>
              <w:rPr>
                <w:rFonts w:hint="eastAsia" w:ascii="仿宋_GB2312" w:hAnsi="仿宋_GB2312" w:eastAsia="仿宋_GB2312" w:cs="仿宋_GB2312"/>
                <w:color w:val="auto"/>
                <w:spacing w:val="-19"/>
                <w:sz w:val="24"/>
                <w:szCs w:val="24"/>
              </w:rPr>
              <w:t xml:space="preserve"> 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41" w:type="dxa"/>
            <w:vMerge w:val="continue"/>
            <w:vAlign w:val="center"/>
          </w:tcPr>
          <w:p>
            <w:pPr>
              <w:jc w:val="center"/>
              <w:rPr>
                <w:rFonts w:hint="eastAsia" w:ascii="仿宋_GB2312" w:hAnsi="仿宋_GB2312" w:eastAsia="仿宋_GB2312" w:cs="仿宋_GB2312"/>
                <w:color w:val="auto"/>
                <w:sz w:val="24"/>
                <w:szCs w:val="24"/>
              </w:rPr>
            </w:pPr>
          </w:p>
        </w:tc>
        <w:tc>
          <w:tcPr>
            <w:tcW w:w="2305" w:type="dxa"/>
            <w:vMerge w:val="continue"/>
            <w:vAlign w:val="center"/>
          </w:tcPr>
          <w:p>
            <w:pPr>
              <w:jc w:val="center"/>
              <w:rPr>
                <w:rFonts w:hint="eastAsia" w:ascii="仿宋_GB2312" w:hAnsi="仿宋_GB2312" w:eastAsia="仿宋_GB2312" w:cs="仿宋_GB2312"/>
                <w:color w:val="auto"/>
                <w:sz w:val="24"/>
                <w:szCs w:val="24"/>
              </w:rPr>
            </w:pPr>
          </w:p>
        </w:tc>
        <w:tc>
          <w:tcPr>
            <w:tcW w:w="3666" w:type="dxa"/>
            <w:vAlign w:val="top"/>
          </w:tcPr>
          <w:p>
            <w:pPr>
              <w:spacing w:before="176" w:line="220" w:lineRule="auto"/>
              <w:ind w:left="1568"/>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水车</w:t>
            </w:r>
          </w:p>
        </w:tc>
        <w:tc>
          <w:tcPr>
            <w:tcW w:w="1714" w:type="dxa"/>
            <w:vAlign w:val="top"/>
          </w:tcPr>
          <w:p>
            <w:pPr>
              <w:spacing w:before="176" w:line="222" w:lineRule="auto"/>
              <w:ind w:left="63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8"/>
                <w:sz w:val="24"/>
                <w:szCs w:val="24"/>
              </w:rPr>
              <w:t>1</w:t>
            </w:r>
            <w:r>
              <w:rPr>
                <w:rFonts w:hint="eastAsia" w:ascii="仿宋_GB2312" w:hAnsi="仿宋_GB2312" w:eastAsia="仿宋_GB2312" w:cs="仿宋_GB2312"/>
                <w:color w:val="auto"/>
                <w:spacing w:val="-27"/>
                <w:sz w:val="24"/>
                <w:szCs w:val="24"/>
              </w:rPr>
              <w:t xml:space="preserve"> 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1" w:type="dxa"/>
            <w:vMerge w:val="continue"/>
            <w:vAlign w:val="center"/>
          </w:tcPr>
          <w:p>
            <w:pPr>
              <w:jc w:val="center"/>
              <w:rPr>
                <w:rFonts w:hint="eastAsia" w:ascii="仿宋_GB2312" w:hAnsi="仿宋_GB2312" w:eastAsia="仿宋_GB2312" w:cs="仿宋_GB2312"/>
                <w:color w:val="auto"/>
                <w:sz w:val="24"/>
                <w:szCs w:val="24"/>
              </w:rPr>
            </w:pPr>
          </w:p>
        </w:tc>
        <w:tc>
          <w:tcPr>
            <w:tcW w:w="2305" w:type="dxa"/>
            <w:vMerge w:val="continue"/>
            <w:vAlign w:val="center"/>
          </w:tcPr>
          <w:p>
            <w:pPr>
              <w:jc w:val="center"/>
              <w:rPr>
                <w:rFonts w:hint="eastAsia" w:ascii="仿宋_GB2312" w:hAnsi="仿宋_GB2312" w:eastAsia="仿宋_GB2312" w:cs="仿宋_GB2312"/>
                <w:color w:val="auto"/>
                <w:sz w:val="24"/>
                <w:szCs w:val="24"/>
              </w:rPr>
            </w:pPr>
          </w:p>
        </w:tc>
        <w:tc>
          <w:tcPr>
            <w:tcW w:w="3666" w:type="dxa"/>
            <w:vAlign w:val="top"/>
          </w:tcPr>
          <w:p>
            <w:pPr>
              <w:spacing w:before="175" w:line="220" w:lineRule="auto"/>
              <w:ind w:left="143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装</w:t>
            </w:r>
            <w:r>
              <w:rPr>
                <w:rFonts w:hint="eastAsia" w:ascii="仿宋_GB2312" w:hAnsi="仿宋_GB2312" w:eastAsia="仿宋_GB2312" w:cs="仿宋_GB2312"/>
                <w:color w:val="auto"/>
                <w:spacing w:val="-7"/>
                <w:sz w:val="24"/>
                <w:szCs w:val="24"/>
              </w:rPr>
              <w:t>载车</w:t>
            </w:r>
          </w:p>
        </w:tc>
        <w:tc>
          <w:tcPr>
            <w:tcW w:w="1714" w:type="dxa"/>
            <w:vAlign w:val="top"/>
          </w:tcPr>
          <w:p>
            <w:pPr>
              <w:spacing w:before="176" w:line="222" w:lineRule="auto"/>
              <w:ind w:left="63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8"/>
                <w:sz w:val="24"/>
                <w:szCs w:val="24"/>
              </w:rPr>
              <w:t>1</w:t>
            </w:r>
            <w:r>
              <w:rPr>
                <w:rFonts w:hint="eastAsia" w:ascii="仿宋_GB2312" w:hAnsi="仿宋_GB2312" w:eastAsia="仿宋_GB2312" w:cs="仿宋_GB2312"/>
                <w:color w:val="auto"/>
                <w:spacing w:val="-27"/>
                <w:sz w:val="24"/>
                <w:szCs w:val="24"/>
              </w:rPr>
              <w:t xml:space="preserve"> 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41" w:type="dxa"/>
            <w:vMerge w:val="restart"/>
            <w:vAlign w:val="center"/>
          </w:tcPr>
          <w:p>
            <w:pPr>
              <w:spacing w:before="227" w:line="179"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2305" w:type="dxa"/>
            <w:vMerge w:val="restart"/>
            <w:vAlign w:val="center"/>
          </w:tcPr>
          <w:p>
            <w:pPr>
              <w:spacing w:before="176" w:line="224"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pacing w:val="-10"/>
                <w:sz w:val="24"/>
                <w:szCs w:val="24"/>
              </w:rPr>
              <w:t>哈拉沁</w:t>
            </w:r>
            <w:r>
              <w:rPr>
                <w:rFonts w:hint="eastAsia" w:ascii="仿宋_GB2312" w:hAnsi="仿宋_GB2312" w:eastAsia="仿宋_GB2312" w:cs="仿宋_GB2312"/>
                <w:color w:val="auto"/>
                <w:spacing w:val="-10"/>
                <w:sz w:val="24"/>
                <w:szCs w:val="24"/>
                <w:lang w:val="en-US" w:eastAsia="zh-CN"/>
              </w:rPr>
              <w:t>村村</w:t>
            </w:r>
          </w:p>
        </w:tc>
        <w:tc>
          <w:tcPr>
            <w:tcW w:w="3666" w:type="dxa"/>
            <w:vAlign w:val="top"/>
          </w:tcPr>
          <w:p>
            <w:pPr>
              <w:spacing w:before="177" w:line="220" w:lineRule="auto"/>
              <w:ind w:left="1568" w:left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水车</w:t>
            </w:r>
          </w:p>
        </w:tc>
        <w:tc>
          <w:tcPr>
            <w:tcW w:w="1714" w:type="dxa"/>
            <w:vAlign w:val="top"/>
          </w:tcPr>
          <w:p>
            <w:pPr>
              <w:spacing w:before="177" w:line="222" w:lineRule="auto"/>
              <w:ind w:left="624" w:left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3"/>
                <w:sz w:val="24"/>
                <w:szCs w:val="24"/>
              </w:rPr>
              <w:t>3</w:t>
            </w:r>
            <w:r>
              <w:rPr>
                <w:rFonts w:hint="eastAsia" w:ascii="仿宋_GB2312" w:hAnsi="仿宋_GB2312" w:eastAsia="仿宋_GB2312" w:cs="仿宋_GB2312"/>
                <w:color w:val="auto"/>
                <w:spacing w:val="-22"/>
                <w:sz w:val="24"/>
                <w:szCs w:val="24"/>
              </w:rPr>
              <w:t xml:space="preserve"> 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41" w:type="dxa"/>
            <w:vMerge w:val="continue"/>
            <w:vAlign w:val="top"/>
          </w:tcPr>
          <w:p>
            <w:pPr>
              <w:rPr>
                <w:rFonts w:hint="eastAsia" w:ascii="仿宋_GB2312" w:hAnsi="仿宋_GB2312" w:eastAsia="仿宋_GB2312" w:cs="仿宋_GB2312"/>
                <w:color w:val="auto"/>
                <w:sz w:val="24"/>
                <w:szCs w:val="24"/>
              </w:rPr>
            </w:pPr>
          </w:p>
        </w:tc>
        <w:tc>
          <w:tcPr>
            <w:tcW w:w="2305" w:type="dxa"/>
            <w:vMerge w:val="continue"/>
            <w:vAlign w:val="top"/>
          </w:tcPr>
          <w:p>
            <w:pPr>
              <w:rPr>
                <w:rFonts w:hint="eastAsia" w:ascii="仿宋_GB2312" w:hAnsi="仿宋_GB2312" w:eastAsia="仿宋_GB2312" w:cs="仿宋_GB2312"/>
                <w:color w:val="auto"/>
                <w:sz w:val="24"/>
                <w:szCs w:val="24"/>
              </w:rPr>
            </w:pPr>
          </w:p>
        </w:tc>
        <w:tc>
          <w:tcPr>
            <w:tcW w:w="3666" w:type="dxa"/>
            <w:vAlign w:val="top"/>
          </w:tcPr>
          <w:p>
            <w:pPr>
              <w:spacing w:before="177" w:line="220" w:lineRule="auto"/>
              <w:ind w:left="1434" w:left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装</w:t>
            </w:r>
            <w:r>
              <w:rPr>
                <w:rFonts w:hint="eastAsia" w:ascii="仿宋_GB2312" w:hAnsi="仿宋_GB2312" w:eastAsia="仿宋_GB2312" w:cs="仿宋_GB2312"/>
                <w:color w:val="auto"/>
                <w:spacing w:val="-7"/>
                <w:sz w:val="24"/>
                <w:szCs w:val="24"/>
              </w:rPr>
              <w:t>载车</w:t>
            </w:r>
          </w:p>
        </w:tc>
        <w:tc>
          <w:tcPr>
            <w:tcW w:w="1714" w:type="dxa"/>
            <w:vAlign w:val="top"/>
          </w:tcPr>
          <w:p>
            <w:pPr>
              <w:spacing w:before="177" w:line="222" w:lineRule="auto"/>
              <w:ind w:left="639" w:left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8"/>
                <w:sz w:val="24"/>
                <w:szCs w:val="24"/>
              </w:rPr>
              <w:t>1</w:t>
            </w:r>
            <w:r>
              <w:rPr>
                <w:rFonts w:hint="eastAsia" w:ascii="仿宋_GB2312" w:hAnsi="仿宋_GB2312" w:eastAsia="仿宋_GB2312" w:cs="仿宋_GB2312"/>
                <w:color w:val="auto"/>
                <w:spacing w:val="-27"/>
                <w:sz w:val="24"/>
                <w:szCs w:val="24"/>
              </w:rPr>
              <w:t xml:space="preserve"> 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41" w:type="dxa"/>
            <w:vMerge w:val="continue"/>
            <w:vAlign w:val="top"/>
          </w:tcPr>
          <w:p>
            <w:pPr>
              <w:rPr>
                <w:rFonts w:hint="eastAsia" w:ascii="仿宋_GB2312" w:hAnsi="仿宋_GB2312" w:eastAsia="仿宋_GB2312" w:cs="仿宋_GB2312"/>
                <w:color w:val="auto"/>
                <w:sz w:val="24"/>
                <w:szCs w:val="24"/>
              </w:rPr>
            </w:pPr>
          </w:p>
        </w:tc>
        <w:tc>
          <w:tcPr>
            <w:tcW w:w="2305" w:type="dxa"/>
            <w:vMerge w:val="continue"/>
            <w:vAlign w:val="top"/>
          </w:tcPr>
          <w:p>
            <w:pPr>
              <w:rPr>
                <w:rFonts w:hint="eastAsia" w:ascii="仿宋_GB2312" w:hAnsi="仿宋_GB2312" w:eastAsia="仿宋_GB2312" w:cs="仿宋_GB2312"/>
                <w:color w:val="auto"/>
                <w:sz w:val="24"/>
                <w:szCs w:val="24"/>
              </w:rPr>
            </w:pPr>
          </w:p>
        </w:tc>
        <w:tc>
          <w:tcPr>
            <w:tcW w:w="3666" w:type="dxa"/>
            <w:vAlign w:val="top"/>
          </w:tcPr>
          <w:p>
            <w:pPr>
              <w:spacing w:before="176" w:line="223" w:lineRule="auto"/>
              <w:ind w:left="1568" w:left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挖机</w:t>
            </w:r>
          </w:p>
        </w:tc>
        <w:tc>
          <w:tcPr>
            <w:tcW w:w="1714" w:type="dxa"/>
            <w:vAlign w:val="top"/>
          </w:tcPr>
          <w:p>
            <w:pPr>
              <w:spacing w:before="177" w:line="222" w:lineRule="auto"/>
              <w:ind w:left="639" w:left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8"/>
                <w:sz w:val="24"/>
                <w:szCs w:val="24"/>
              </w:rPr>
              <w:t>1</w:t>
            </w:r>
            <w:r>
              <w:rPr>
                <w:rFonts w:hint="eastAsia" w:ascii="仿宋_GB2312" w:hAnsi="仿宋_GB2312" w:eastAsia="仿宋_GB2312" w:cs="仿宋_GB2312"/>
                <w:color w:val="auto"/>
                <w:spacing w:val="-27"/>
                <w:sz w:val="24"/>
                <w:szCs w:val="24"/>
              </w:rPr>
              <w:t xml:space="preserve"> 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41" w:type="dxa"/>
            <w:vMerge w:val="restart"/>
            <w:vAlign w:val="center"/>
          </w:tcPr>
          <w:p>
            <w:pPr>
              <w:spacing w:before="224" w:line="181"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2305" w:type="dxa"/>
            <w:vMerge w:val="restart"/>
            <w:vAlign w:val="center"/>
          </w:tcPr>
          <w:p>
            <w:pPr>
              <w:spacing w:before="176" w:line="222"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7"/>
                <w:sz w:val="24"/>
                <w:szCs w:val="24"/>
              </w:rPr>
              <w:t>红</w:t>
            </w:r>
            <w:r>
              <w:rPr>
                <w:rFonts w:hint="eastAsia" w:ascii="仿宋_GB2312" w:hAnsi="仿宋_GB2312" w:eastAsia="仿宋_GB2312" w:cs="仿宋_GB2312"/>
                <w:color w:val="auto"/>
                <w:spacing w:val="-4"/>
                <w:sz w:val="24"/>
                <w:szCs w:val="24"/>
              </w:rPr>
              <w:t>山口村</w:t>
            </w:r>
          </w:p>
        </w:tc>
        <w:tc>
          <w:tcPr>
            <w:tcW w:w="3666" w:type="dxa"/>
            <w:vAlign w:val="top"/>
          </w:tcPr>
          <w:p>
            <w:pPr>
              <w:spacing w:before="175" w:line="224" w:lineRule="auto"/>
              <w:ind w:left="1448"/>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2"/>
                <w:sz w:val="24"/>
                <w:szCs w:val="24"/>
              </w:rPr>
              <w:t>防火器</w:t>
            </w:r>
          </w:p>
        </w:tc>
        <w:tc>
          <w:tcPr>
            <w:tcW w:w="1714" w:type="dxa"/>
            <w:vAlign w:val="top"/>
          </w:tcPr>
          <w:p>
            <w:pPr>
              <w:spacing w:before="175" w:line="222" w:lineRule="auto"/>
              <w:ind w:left="6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2"/>
                <w:sz w:val="24"/>
                <w:szCs w:val="24"/>
              </w:rPr>
              <w:t>6 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41" w:type="dxa"/>
            <w:vMerge w:val="continue"/>
            <w:vAlign w:val="center"/>
          </w:tcPr>
          <w:p>
            <w:pPr>
              <w:jc w:val="center"/>
              <w:rPr>
                <w:rFonts w:hint="eastAsia" w:ascii="仿宋_GB2312" w:hAnsi="仿宋_GB2312" w:eastAsia="仿宋_GB2312" w:cs="仿宋_GB2312"/>
                <w:color w:val="auto"/>
                <w:sz w:val="24"/>
                <w:szCs w:val="24"/>
              </w:rPr>
            </w:pPr>
          </w:p>
        </w:tc>
        <w:tc>
          <w:tcPr>
            <w:tcW w:w="2305" w:type="dxa"/>
            <w:vMerge w:val="continue"/>
            <w:vAlign w:val="center"/>
          </w:tcPr>
          <w:p>
            <w:pPr>
              <w:jc w:val="center"/>
              <w:rPr>
                <w:rFonts w:hint="eastAsia" w:ascii="仿宋_GB2312" w:hAnsi="仿宋_GB2312" w:eastAsia="仿宋_GB2312" w:cs="仿宋_GB2312"/>
                <w:color w:val="auto"/>
                <w:sz w:val="24"/>
                <w:szCs w:val="24"/>
              </w:rPr>
            </w:pPr>
          </w:p>
        </w:tc>
        <w:tc>
          <w:tcPr>
            <w:tcW w:w="3666" w:type="dxa"/>
            <w:vAlign w:val="top"/>
          </w:tcPr>
          <w:p>
            <w:pPr>
              <w:spacing w:before="175" w:line="224" w:lineRule="auto"/>
              <w:ind w:left="1431"/>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6"/>
                <w:sz w:val="24"/>
                <w:szCs w:val="24"/>
              </w:rPr>
              <w:t>灭火弹</w:t>
            </w:r>
          </w:p>
        </w:tc>
        <w:tc>
          <w:tcPr>
            <w:tcW w:w="1714" w:type="dxa"/>
            <w:vAlign w:val="top"/>
          </w:tcPr>
          <w:p>
            <w:pPr>
              <w:spacing w:before="175" w:line="222" w:lineRule="auto"/>
              <w:ind w:left="621"/>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0"/>
                <w:sz w:val="24"/>
                <w:szCs w:val="24"/>
              </w:rPr>
              <w:t>2</w:t>
            </w:r>
            <w:r>
              <w:rPr>
                <w:rFonts w:hint="eastAsia" w:ascii="仿宋_GB2312" w:hAnsi="仿宋_GB2312" w:eastAsia="仿宋_GB2312" w:cs="仿宋_GB2312"/>
                <w:color w:val="auto"/>
                <w:spacing w:val="-19"/>
                <w:sz w:val="24"/>
                <w:szCs w:val="24"/>
              </w:rPr>
              <w:t xml:space="preserve"> 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41" w:type="dxa"/>
            <w:vMerge w:val="continue"/>
            <w:vAlign w:val="center"/>
          </w:tcPr>
          <w:p>
            <w:pPr>
              <w:jc w:val="center"/>
              <w:rPr>
                <w:rFonts w:ascii="Arial"/>
                <w:color w:val="auto"/>
                <w:sz w:val="21"/>
              </w:rPr>
            </w:pPr>
          </w:p>
        </w:tc>
        <w:tc>
          <w:tcPr>
            <w:tcW w:w="2305" w:type="dxa"/>
            <w:vMerge w:val="continue"/>
            <w:vAlign w:val="center"/>
          </w:tcPr>
          <w:p>
            <w:pPr>
              <w:jc w:val="center"/>
              <w:rPr>
                <w:rFonts w:ascii="Arial"/>
                <w:color w:val="auto"/>
                <w:sz w:val="21"/>
              </w:rPr>
            </w:pPr>
          </w:p>
        </w:tc>
        <w:tc>
          <w:tcPr>
            <w:tcW w:w="3666" w:type="dxa"/>
            <w:vAlign w:val="top"/>
          </w:tcPr>
          <w:p>
            <w:pPr>
              <w:spacing w:before="176" w:line="224" w:lineRule="auto"/>
              <w:ind w:left="128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5"/>
                <w:sz w:val="24"/>
                <w:szCs w:val="24"/>
              </w:rPr>
              <w:t>钢</w:t>
            </w:r>
            <w:r>
              <w:rPr>
                <w:rFonts w:hint="eastAsia" w:ascii="仿宋_GB2312" w:hAnsi="仿宋_GB2312" w:eastAsia="仿宋_GB2312" w:cs="仿宋_GB2312"/>
                <w:color w:val="auto"/>
                <w:spacing w:val="-4"/>
                <w:sz w:val="24"/>
                <w:szCs w:val="24"/>
              </w:rPr>
              <w:t>丝扫把</w:t>
            </w:r>
          </w:p>
        </w:tc>
        <w:tc>
          <w:tcPr>
            <w:tcW w:w="1714" w:type="dxa"/>
            <w:vAlign w:val="top"/>
          </w:tcPr>
          <w:p>
            <w:pPr>
              <w:spacing w:before="177" w:line="225" w:lineRule="auto"/>
              <w:ind w:left="62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2"/>
                <w:sz w:val="24"/>
                <w:szCs w:val="24"/>
              </w:rPr>
              <w:t>3 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1" w:type="dxa"/>
            <w:vMerge w:val="continue"/>
            <w:vAlign w:val="center"/>
          </w:tcPr>
          <w:p>
            <w:pPr>
              <w:jc w:val="center"/>
              <w:rPr>
                <w:rFonts w:ascii="Arial"/>
                <w:color w:val="auto"/>
                <w:sz w:val="21"/>
              </w:rPr>
            </w:pPr>
          </w:p>
        </w:tc>
        <w:tc>
          <w:tcPr>
            <w:tcW w:w="2305" w:type="dxa"/>
            <w:vMerge w:val="continue"/>
            <w:vAlign w:val="center"/>
          </w:tcPr>
          <w:p>
            <w:pPr>
              <w:jc w:val="center"/>
              <w:rPr>
                <w:rFonts w:ascii="Arial"/>
                <w:color w:val="auto"/>
                <w:sz w:val="21"/>
              </w:rPr>
            </w:pPr>
          </w:p>
        </w:tc>
        <w:tc>
          <w:tcPr>
            <w:tcW w:w="3666" w:type="dxa"/>
            <w:vAlign w:val="top"/>
          </w:tcPr>
          <w:p>
            <w:pPr>
              <w:spacing w:before="173" w:line="224" w:lineRule="auto"/>
              <w:ind w:left="131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7"/>
                <w:sz w:val="24"/>
                <w:szCs w:val="24"/>
              </w:rPr>
              <w:t>2</w:t>
            </w:r>
            <w:r>
              <w:rPr>
                <w:rFonts w:hint="eastAsia" w:ascii="仿宋_GB2312" w:hAnsi="仿宋_GB2312" w:eastAsia="仿宋_GB2312" w:cs="仿宋_GB2312"/>
                <w:color w:val="auto"/>
                <w:spacing w:val="-16"/>
                <w:sz w:val="24"/>
                <w:szCs w:val="24"/>
              </w:rPr>
              <w:t xml:space="preserve"> 号工具</w:t>
            </w:r>
          </w:p>
        </w:tc>
        <w:tc>
          <w:tcPr>
            <w:tcW w:w="1714" w:type="dxa"/>
            <w:vAlign w:val="top"/>
          </w:tcPr>
          <w:p>
            <w:pPr>
              <w:spacing w:before="172" w:line="225" w:lineRule="auto"/>
              <w:ind w:left="56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2"/>
                <w:sz w:val="24"/>
                <w:szCs w:val="24"/>
              </w:rPr>
              <w:t>1</w:t>
            </w:r>
            <w:r>
              <w:rPr>
                <w:rFonts w:hint="eastAsia" w:ascii="仿宋_GB2312" w:hAnsi="仿宋_GB2312" w:eastAsia="仿宋_GB2312" w:cs="仿宋_GB2312"/>
                <w:color w:val="auto"/>
                <w:spacing w:val="-20"/>
                <w:sz w:val="24"/>
                <w:szCs w:val="24"/>
              </w:rPr>
              <w:t>0 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1" w:type="dxa"/>
            <w:vMerge w:val="continue"/>
            <w:vAlign w:val="center"/>
          </w:tcPr>
          <w:p>
            <w:pPr>
              <w:jc w:val="center"/>
              <w:rPr>
                <w:rFonts w:ascii="Arial"/>
                <w:color w:val="auto"/>
                <w:sz w:val="21"/>
              </w:rPr>
            </w:pPr>
          </w:p>
        </w:tc>
        <w:tc>
          <w:tcPr>
            <w:tcW w:w="2305" w:type="dxa"/>
            <w:vMerge w:val="continue"/>
            <w:vAlign w:val="center"/>
          </w:tcPr>
          <w:p>
            <w:pPr>
              <w:jc w:val="center"/>
              <w:rPr>
                <w:rFonts w:ascii="Arial"/>
                <w:color w:val="auto"/>
                <w:sz w:val="21"/>
              </w:rPr>
            </w:pPr>
          </w:p>
        </w:tc>
        <w:tc>
          <w:tcPr>
            <w:tcW w:w="3666" w:type="dxa"/>
            <w:vAlign w:val="top"/>
          </w:tcPr>
          <w:p>
            <w:pPr>
              <w:spacing w:before="173" w:line="223" w:lineRule="auto"/>
              <w:ind w:left="100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4"/>
                <w:sz w:val="24"/>
                <w:szCs w:val="24"/>
              </w:rPr>
              <w:t>橡胶</w:t>
            </w:r>
            <w:r>
              <w:rPr>
                <w:rFonts w:hint="eastAsia" w:ascii="仿宋_GB2312" w:hAnsi="仿宋_GB2312" w:eastAsia="仿宋_GB2312" w:cs="仿宋_GB2312"/>
                <w:color w:val="auto"/>
                <w:spacing w:val="-2"/>
                <w:sz w:val="24"/>
                <w:szCs w:val="24"/>
              </w:rPr>
              <w:t>灭火扫把</w:t>
            </w:r>
          </w:p>
        </w:tc>
        <w:tc>
          <w:tcPr>
            <w:tcW w:w="1714" w:type="dxa"/>
            <w:vAlign w:val="top"/>
          </w:tcPr>
          <w:p>
            <w:pPr>
              <w:spacing w:before="173" w:line="225" w:lineRule="auto"/>
              <w:ind w:left="55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9"/>
                <w:sz w:val="24"/>
                <w:szCs w:val="24"/>
              </w:rPr>
              <w:t>5</w:t>
            </w:r>
            <w:r>
              <w:rPr>
                <w:rFonts w:hint="eastAsia" w:ascii="仿宋_GB2312" w:hAnsi="仿宋_GB2312" w:eastAsia="仿宋_GB2312" w:cs="仿宋_GB2312"/>
                <w:color w:val="auto"/>
                <w:spacing w:val="-16"/>
                <w:sz w:val="24"/>
                <w:szCs w:val="24"/>
              </w:rPr>
              <w:t>0 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41" w:type="dxa"/>
            <w:vMerge w:val="continue"/>
            <w:vAlign w:val="center"/>
          </w:tcPr>
          <w:p>
            <w:pPr>
              <w:jc w:val="center"/>
              <w:rPr>
                <w:rFonts w:ascii="Arial"/>
                <w:color w:val="auto"/>
                <w:sz w:val="21"/>
              </w:rPr>
            </w:pPr>
          </w:p>
        </w:tc>
        <w:tc>
          <w:tcPr>
            <w:tcW w:w="2305" w:type="dxa"/>
            <w:vMerge w:val="continue"/>
            <w:vAlign w:val="center"/>
          </w:tcPr>
          <w:p>
            <w:pPr>
              <w:jc w:val="center"/>
              <w:rPr>
                <w:rFonts w:ascii="Arial"/>
                <w:color w:val="auto"/>
                <w:sz w:val="21"/>
              </w:rPr>
            </w:pPr>
          </w:p>
        </w:tc>
        <w:tc>
          <w:tcPr>
            <w:tcW w:w="3666" w:type="dxa"/>
            <w:vAlign w:val="top"/>
          </w:tcPr>
          <w:p>
            <w:pPr>
              <w:spacing w:before="173" w:line="224" w:lineRule="auto"/>
              <w:ind w:left="129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5"/>
                <w:sz w:val="24"/>
                <w:szCs w:val="24"/>
              </w:rPr>
              <w:t>竹子扫把</w:t>
            </w:r>
          </w:p>
        </w:tc>
        <w:tc>
          <w:tcPr>
            <w:tcW w:w="1714" w:type="dxa"/>
            <w:vAlign w:val="top"/>
          </w:tcPr>
          <w:p>
            <w:pPr>
              <w:spacing w:before="174" w:line="225" w:lineRule="auto"/>
              <w:ind w:left="62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2"/>
                <w:sz w:val="24"/>
                <w:szCs w:val="24"/>
              </w:rPr>
              <w:t>5 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1" w:type="dxa"/>
            <w:vMerge w:val="continue"/>
            <w:vAlign w:val="center"/>
          </w:tcPr>
          <w:p>
            <w:pPr>
              <w:jc w:val="center"/>
              <w:rPr>
                <w:rFonts w:ascii="Arial"/>
                <w:color w:val="auto"/>
                <w:sz w:val="21"/>
              </w:rPr>
            </w:pPr>
          </w:p>
        </w:tc>
        <w:tc>
          <w:tcPr>
            <w:tcW w:w="2305" w:type="dxa"/>
            <w:vMerge w:val="continue"/>
            <w:vAlign w:val="center"/>
          </w:tcPr>
          <w:p>
            <w:pPr>
              <w:jc w:val="center"/>
              <w:rPr>
                <w:rFonts w:ascii="Arial"/>
                <w:color w:val="auto"/>
                <w:sz w:val="21"/>
              </w:rPr>
            </w:pPr>
          </w:p>
        </w:tc>
        <w:tc>
          <w:tcPr>
            <w:tcW w:w="3666" w:type="dxa"/>
            <w:vAlign w:val="top"/>
          </w:tcPr>
          <w:p>
            <w:pPr>
              <w:spacing w:before="173" w:line="220" w:lineRule="auto"/>
              <w:ind w:left="1568"/>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水车</w:t>
            </w:r>
          </w:p>
        </w:tc>
        <w:tc>
          <w:tcPr>
            <w:tcW w:w="1714" w:type="dxa"/>
            <w:vAlign w:val="top"/>
          </w:tcPr>
          <w:p>
            <w:pPr>
              <w:spacing w:before="173" w:line="222" w:lineRule="auto"/>
              <w:ind w:left="63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8"/>
                <w:sz w:val="24"/>
                <w:szCs w:val="24"/>
              </w:rPr>
              <w:t>1</w:t>
            </w:r>
            <w:r>
              <w:rPr>
                <w:rFonts w:hint="eastAsia" w:ascii="仿宋_GB2312" w:hAnsi="仿宋_GB2312" w:eastAsia="仿宋_GB2312" w:cs="仿宋_GB2312"/>
                <w:color w:val="auto"/>
                <w:spacing w:val="-27"/>
                <w:sz w:val="24"/>
                <w:szCs w:val="24"/>
              </w:rPr>
              <w:t xml:space="preserve"> 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41" w:type="dxa"/>
            <w:vMerge w:val="continue"/>
            <w:vAlign w:val="center"/>
          </w:tcPr>
          <w:p>
            <w:pPr>
              <w:jc w:val="center"/>
              <w:rPr>
                <w:rFonts w:ascii="Arial"/>
                <w:color w:val="auto"/>
                <w:sz w:val="21"/>
              </w:rPr>
            </w:pPr>
          </w:p>
        </w:tc>
        <w:tc>
          <w:tcPr>
            <w:tcW w:w="2305" w:type="dxa"/>
            <w:vMerge w:val="continue"/>
            <w:vAlign w:val="center"/>
          </w:tcPr>
          <w:p>
            <w:pPr>
              <w:jc w:val="center"/>
              <w:rPr>
                <w:rFonts w:ascii="Arial"/>
                <w:color w:val="auto"/>
                <w:sz w:val="21"/>
              </w:rPr>
            </w:pPr>
          </w:p>
        </w:tc>
        <w:tc>
          <w:tcPr>
            <w:tcW w:w="3666" w:type="dxa"/>
            <w:vAlign w:val="top"/>
          </w:tcPr>
          <w:p>
            <w:pPr>
              <w:spacing w:before="176" w:line="220" w:lineRule="auto"/>
              <w:ind w:left="143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装</w:t>
            </w:r>
            <w:r>
              <w:rPr>
                <w:rFonts w:hint="eastAsia" w:ascii="仿宋_GB2312" w:hAnsi="仿宋_GB2312" w:eastAsia="仿宋_GB2312" w:cs="仿宋_GB2312"/>
                <w:color w:val="auto"/>
                <w:spacing w:val="-7"/>
                <w:sz w:val="24"/>
                <w:szCs w:val="24"/>
              </w:rPr>
              <w:t>载车</w:t>
            </w:r>
          </w:p>
        </w:tc>
        <w:tc>
          <w:tcPr>
            <w:tcW w:w="1714" w:type="dxa"/>
            <w:vAlign w:val="top"/>
          </w:tcPr>
          <w:p>
            <w:pPr>
              <w:spacing w:before="176" w:line="222" w:lineRule="auto"/>
              <w:ind w:left="63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8"/>
                <w:sz w:val="24"/>
                <w:szCs w:val="24"/>
              </w:rPr>
              <w:t>1</w:t>
            </w:r>
            <w:r>
              <w:rPr>
                <w:rFonts w:hint="eastAsia" w:ascii="仿宋_GB2312" w:hAnsi="仿宋_GB2312" w:eastAsia="仿宋_GB2312" w:cs="仿宋_GB2312"/>
                <w:color w:val="auto"/>
                <w:spacing w:val="-27"/>
                <w:sz w:val="24"/>
                <w:szCs w:val="24"/>
              </w:rPr>
              <w:t xml:space="preserve"> 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41" w:type="dxa"/>
            <w:vAlign w:val="center"/>
          </w:tcPr>
          <w:p>
            <w:pPr>
              <w:spacing w:before="224" w:line="181"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2305" w:type="dxa"/>
            <w:vAlign w:val="center"/>
          </w:tcPr>
          <w:p>
            <w:pPr>
              <w:spacing w:before="175" w:line="224"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pacing w:val="-9"/>
                <w:sz w:val="24"/>
                <w:szCs w:val="24"/>
              </w:rPr>
              <w:t>代</w:t>
            </w:r>
            <w:r>
              <w:rPr>
                <w:rFonts w:hint="eastAsia" w:ascii="仿宋_GB2312" w:hAnsi="仿宋_GB2312" w:eastAsia="仿宋_GB2312" w:cs="仿宋_GB2312"/>
                <w:color w:val="auto"/>
                <w:spacing w:val="-7"/>
                <w:sz w:val="24"/>
                <w:szCs w:val="24"/>
              </w:rPr>
              <w:t>洲营</w:t>
            </w:r>
            <w:r>
              <w:rPr>
                <w:rFonts w:hint="eastAsia" w:ascii="仿宋_GB2312" w:hAnsi="仿宋_GB2312" w:eastAsia="仿宋_GB2312" w:cs="仿宋_GB2312"/>
                <w:color w:val="auto"/>
                <w:spacing w:val="-7"/>
                <w:sz w:val="24"/>
                <w:szCs w:val="24"/>
                <w:lang w:val="en-US" w:eastAsia="zh-CN"/>
              </w:rPr>
              <w:t>村</w:t>
            </w:r>
          </w:p>
        </w:tc>
        <w:tc>
          <w:tcPr>
            <w:tcW w:w="3666" w:type="dxa"/>
            <w:vAlign w:val="top"/>
          </w:tcPr>
          <w:p>
            <w:pPr>
              <w:spacing w:before="175" w:line="224" w:lineRule="auto"/>
              <w:ind w:left="1431"/>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6"/>
                <w:sz w:val="24"/>
                <w:szCs w:val="24"/>
              </w:rPr>
              <w:t>灭火器</w:t>
            </w:r>
          </w:p>
        </w:tc>
        <w:tc>
          <w:tcPr>
            <w:tcW w:w="1714" w:type="dxa"/>
            <w:vAlign w:val="top"/>
          </w:tcPr>
          <w:p>
            <w:pPr>
              <w:spacing w:before="175" w:line="224" w:lineRule="auto"/>
              <w:ind w:left="552"/>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9"/>
                <w:sz w:val="24"/>
                <w:szCs w:val="24"/>
              </w:rPr>
              <w:t>2</w:t>
            </w:r>
            <w:r>
              <w:rPr>
                <w:rFonts w:hint="eastAsia" w:ascii="仿宋_GB2312" w:hAnsi="仿宋_GB2312" w:eastAsia="仿宋_GB2312" w:cs="仿宋_GB2312"/>
                <w:color w:val="auto"/>
                <w:spacing w:val="-15"/>
                <w:sz w:val="24"/>
                <w:szCs w:val="24"/>
              </w:rPr>
              <w:t>2 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41" w:type="dxa"/>
            <w:vAlign w:val="center"/>
          </w:tcPr>
          <w:p>
            <w:pPr>
              <w:spacing w:before="224" w:line="181"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2305" w:type="dxa"/>
            <w:vAlign w:val="center"/>
          </w:tcPr>
          <w:p>
            <w:pPr>
              <w:spacing w:before="224" w:line="181"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塔利村</w:t>
            </w:r>
          </w:p>
        </w:tc>
        <w:tc>
          <w:tcPr>
            <w:tcW w:w="3666" w:type="dxa"/>
            <w:vAlign w:val="top"/>
          </w:tcPr>
          <w:p>
            <w:pPr>
              <w:spacing w:before="176" w:line="220" w:lineRule="auto"/>
              <w:ind w:left="1568"/>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水车</w:t>
            </w:r>
          </w:p>
        </w:tc>
        <w:tc>
          <w:tcPr>
            <w:tcW w:w="1714" w:type="dxa"/>
            <w:vAlign w:val="top"/>
          </w:tcPr>
          <w:p>
            <w:pPr>
              <w:spacing w:before="175" w:line="222" w:lineRule="auto"/>
              <w:ind w:left="621"/>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4"/>
                <w:sz w:val="24"/>
                <w:szCs w:val="24"/>
              </w:rPr>
              <w:t>2</w:t>
            </w:r>
            <w:r>
              <w:rPr>
                <w:rFonts w:hint="eastAsia" w:ascii="仿宋_GB2312" w:hAnsi="仿宋_GB2312" w:eastAsia="仿宋_GB2312" w:cs="仿宋_GB2312"/>
                <w:color w:val="auto"/>
                <w:spacing w:val="-12"/>
                <w:sz w:val="24"/>
                <w:szCs w:val="24"/>
              </w:rPr>
              <w:t xml:space="preserve"> 台</w:t>
            </w:r>
          </w:p>
        </w:tc>
      </w:tr>
    </w:tbl>
    <w:p>
      <w:pPr>
        <w:pStyle w:val="2"/>
        <w:pageBreakBefore w:val="0"/>
        <w:widowControl w:val="0"/>
        <w:kinsoku/>
        <w:wordWrap/>
        <w:overflowPunct/>
        <w:topLinePunct w:val="0"/>
        <w:autoSpaceDE/>
        <w:autoSpaceDN/>
        <w:bidi w:val="0"/>
        <w:jc w:val="both"/>
        <w:textAlignment w:val="auto"/>
        <w:rPr>
          <w:rFonts w:hint="default"/>
          <w:color w:val="auto"/>
          <w:lang w:val="en-US"/>
        </w:rPr>
      </w:pPr>
    </w:p>
    <w:p>
      <w:pPr>
        <w:pStyle w:val="2"/>
        <w:pageBreakBefore w:val="0"/>
        <w:widowControl w:val="0"/>
        <w:kinsoku/>
        <w:wordWrap/>
        <w:overflowPunct/>
        <w:topLinePunct w:val="0"/>
        <w:autoSpaceDE/>
        <w:autoSpaceDN/>
        <w:bidi w:val="0"/>
        <w:textAlignment w:val="auto"/>
        <w:rPr>
          <w:rFonts w:hint="eastAsia"/>
          <w:color w:val="auto"/>
        </w:rPr>
      </w:pPr>
    </w:p>
    <w:p>
      <w:pPr>
        <w:pageBreakBefore w:val="0"/>
        <w:widowControl w:val="0"/>
        <w:kinsoku/>
        <w:wordWrap/>
        <w:overflowPunct/>
        <w:topLinePunct w:val="0"/>
        <w:autoSpaceDE/>
        <w:autoSpaceDN/>
        <w:bidi w:val="0"/>
        <w:textAlignment w:val="auto"/>
        <w:rPr>
          <w:rFonts w:hint="eastAsia"/>
          <w:color w:val="auto"/>
        </w:rPr>
      </w:pPr>
    </w:p>
    <w:p>
      <w:pPr>
        <w:pStyle w:val="2"/>
        <w:pageBreakBefore w:val="0"/>
        <w:widowControl w:val="0"/>
        <w:kinsoku/>
        <w:wordWrap/>
        <w:overflowPunct/>
        <w:topLinePunct w:val="0"/>
        <w:autoSpaceDE/>
        <w:autoSpaceDN/>
        <w:bidi w:val="0"/>
        <w:textAlignment w:val="auto"/>
        <w:rPr>
          <w:rFonts w:hint="eastAsia"/>
          <w:color w:val="auto"/>
        </w:rPr>
        <w:sectPr>
          <w:pgSz w:w="11906" w:h="16838"/>
          <w:pgMar w:top="1304" w:right="1474" w:bottom="1304" w:left="1474"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rPr>
          <w:rFonts w:hint="eastAsia" w:ascii="黑体" w:eastAsia="黑体"/>
          <w:bCs/>
          <w:color w:val="auto"/>
          <w:kern w:val="44"/>
          <w:sz w:val="32"/>
          <w:szCs w:val="44"/>
          <w:lang w:val="en-US" w:eastAsia="zh-CN"/>
        </w:rPr>
        <w:sectPr>
          <w:pgSz w:w="16838" w:h="11906" w:orient="landscape"/>
          <w:pgMar w:top="1474" w:right="1304" w:bottom="1474" w:left="1304"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bookmarkStart w:id="237" w:name="_Toc528"/>
      <w:r>
        <w:rPr>
          <w:rFonts w:hint="eastAsia" w:ascii="黑体" w:eastAsia="黑体"/>
          <w:bCs/>
          <w:color w:val="auto"/>
          <w:kern w:val="44"/>
          <w:sz w:val="32"/>
          <w:szCs w:val="44"/>
          <w:lang w:val="en-US" w:eastAsia="zh-CN"/>
        </w:rPr>
        <w:t>附件7 新城区应急避险场所</w:t>
      </w:r>
      <w:bookmarkEnd w:id="237"/>
      <w:r>
        <w:rPr>
          <w:rFonts w:hint="eastAsia" w:ascii="黑体" w:eastAsia="黑体"/>
          <w:bCs/>
          <w:color w:val="auto"/>
          <w:kern w:val="44"/>
          <w:sz w:val="32"/>
          <w:szCs w:val="44"/>
          <w:lang w:val="en-US" w:eastAsia="zh-CN"/>
        </w:rPr>
        <w:t>（略）</w:t>
      </w:r>
    </w:p>
    <w:p>
      <w:pPr>
        <w:keepNext w:val="0"/>
        <w:keepLines w:val="0"/>
        <w:pageBreakBefore w:val="0"/>
        <w:widowControl w:val="0"/>
        <w:kinsoku/>
        <w:wordWrap/>
        <w:overflowPunct/>
        <w:topLinePunct w:val="0"/>
        <w:autoSpaceDE/>
        <w:autoSpaceDN/>
        <w:bidi w:val="0"/>
        <w:adjustRightInd/>
        <w:snapToGrid/>
        <w:spacing w:after="313" w:afterLines="100" w:line="360" w:lineRule="auto"/>
        <w:jc w:val="both"/>
        <w:textAlignment w:val="auto"/>
        <w:outlineLvl w:val="1"/>
        <w:rPr>
          <w:rFonts w:hint="eastAsia"/>
          <w:lang w:val="en-US" w:eastAsia="zh-CN"/>
        </w:rPr>
      </w:pPr>
      <w:bookmarkStart w:id="238" w:name="_Toc22769"/>
      <w:r>
        <w:rPr>
          <w:rFonts w:hint="eastAsia" w:ascii="黑体" w:eastAsia="黑体"/>
          <w:bCs/>
          <w:color w:val="auto"/>
          <w:kern w:val="44"/>
          <w:sz w:val="32"/>
          <w:szCs w:val="44"/>
          <w:lang w:val="en-US" w:eastAsia="zh-CN"/>
        </w:rPr>
        <w:t>附件8 新城区主要救治医院信息表</w:t>
      </w:r>
      <w:bookmarkEnd w:id="238"/>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4111"/>
        <w:gridCol w:w="2408"/>
        <w:gridCol w:w="2408"/>
        <w:gridCol w:w="240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03" w:type="dxa"/>
            <w:vAlign w:val="center"/>
          </w:tcPr>
          <w:p>
            <w:pPr>
              <w:keepNext w:val="0"/>
              <w:keepLines w:val="0"/>
              <w:widowControl/>
              <w:suppressLineNumbers w:val="0"/>
              <w:jc w:val="center"/>
              <w:textAlignment w:val="bottom"/>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4111" w:type="dxa"/>
            <w:vAlign w:val="center"/>
          </w:tcPr>
          <w:p>
            <w:pPr>
              <w:keepNext w:val="0"/>
              <w:keepLines w:val="0"/>
              <w:widowControl/>
              <w:suppressLineNumbers w:val="0"/>
              <w:jc w:val="center"/>
              <w:textAlignment w:val="bottom"/>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医院名称</w:t>
            </w:r>
          </w:p>
        </w:tc>
        <w:tc>
          <w:tcPr>
            <w:tcW w:w="2408" w:type="dxa"/>
            <w:vAlign w:val="center"/>
          </w:tcPr>
          <w:p>
            <w:pPr>
              <w:keepNext w:val="0"/>
              <w:keepLines w:val="0"/>
              <w:widowControl/>
              <w:suppressLineNumbers w:val="0"/>
              <w:jc w:val="center"/>
              <w:textAlignment w:val="bottom"/>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位置</w:t>
            </w:r>
          </w:p>
        </w:tc>
        <w:tc>
          <w:tcPr>
            <w:tcW w:w="2408" w:type="dxa"/>
            <w:vAlign w:val="center"/>
          </w:tcPr>
          <w:p>
            <w:pPr>
              <w:keepNext w:val="0"/>
              <w:keepLines w:val="0"/>
              <w:widowControl/>
              <w:suppressLineNumbers w:val="0"/>
              <w:jc w:val="center"/>
              <w:textAlignment w:val="bottom"/>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医院等级</w:t>
            </w:r>
          </w:p>
        </w:tc>
        <w:tc>
          <w:tcPr>
            <w:tcW w:w="2408" w:type="dxa"/>
            <w:vAlign w:val="center"/>
          </w:tcPr>
          <w:p>
            <w:pPr>
              <w:keepNext w:val="0"/>
              <w:keepLines w:val="0"/>
              <w:widowControl/>
              <w:suppressLineNumbers w:val="0"/>
              <w:jc w:val="center"/>
              <w:textAlignment w:val="bottom"/>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床位数</w:t>
            </w:r>
          </w:p>
        </w:tc>
        <w:tc>
          <w:tcPr>
            <w:tcW w:w="2408" w:type="dxa"/>
            <w:vAlign w:val="center"/>
          </w:tcPr>
          <w:p>
            <w:pPr>
              <w:keepNext w:val="0"/>
              <w:keepLines w:val="0"/>
              <w:widowControl/>
              <w:suppressLineNumbers w:val="0"/>
              <w:jc w:val="center"/>
              <w:textAlignment w:val="bottom"/>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急救电话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703" w:type="dxa"/>
            <w:vAlign w:val="center"/>
          </w:tcPr>
          <w:p>
            <w:pPr>
              <w:keepNext w:val="0"/>
              <w:keepLines w:val="0"/>
              <w:widowControl/>
              <w:suppressLineNumbers w:val="0"/>
              <w:jc w:val="center"/>
              <w:textAlignment w:val="bottom"/>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4111" w:type="dxa"/>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呼和浩特市新城区医院</w:t>
            </w:r>
          </w:p>
        </w:tc>
        <w:tc>
          <w:tcPr>
            <w:tcW w:w="2408" w:type="dxa"/>
            <w:vAlign w:val="bottom"/>
          </w:tcPr>
          <w:p>
            <w:pPr>
              <w:keepNext w:val="0"/>
              <w:keepLines w:val="0"/>
              <w:widowControl/>
              <w:suppressLineNumbers w:val="0"/>
              <w:jc w:val="left"/>
              <w:textAlignment w:val="bottom"/>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内蒙古自治区呼和浩特市新城区哲里木路77号</w:t>
            </w:r>
          </w:p>
        </w:tc>
        <w:tc>
          <w:tcPr>
            <w:tcW w:w="2408" w:type="dxa"/>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乙等,二级</w:t>
            </w:r>
          </w:p>
        </w:tc>
        <w:tc>
          <w:tcPr>
            <w:tcW w:w="2408" w:type="dxa"/>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2408" w:type="dxa"/>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0471-8904202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keepNext w:val="0"/>
              <w:keepLines w:val="0"/>
              <w:widowControl/>
              <w:suppressLineNumbers w:val="0"/>
              <w:jc w:val="center"/>
              <w:textAlignment w:val="bottom"/>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4111" w:type="dxa"/>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内蒙古自治区精神卫生中心（内蒙古自治区第三医院、内蒙古自治区精神卫生研究所）</w:t>
            </w:r>
          </w:p>
        </w:tc>
        <w:tc>
          <w:tcPr>
            <w:tcW w:w="2408" w:type="dxa"/>
            <w:vAlign w:val="bottom"/>
          </w:tcPr>
          <w:p>
            <w:pPr>
              <w:keepNext w:val="0"/>
              <w:keepLines w:val="0"/>
              <w:widowControl/>
              <w:suppressLineNumbers w:val="0"/>
              <w:jc w:val="left"/>
              <w:textAlignment w:val="bottom"/>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内蒙古自治区呼和浩特市新城区乌兰察布东街23号</w:t>
            </w:r>
          </w:p>
        </w:tc>
        <w:tc>
          <w:tcPr>
            <w:tcW w:w="2408" w:type="dxa"/>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甲等,三级</w:t>
            </w:r>
          </w:p>
        </w:tc>
        <w:tc>
          <w:tcPr>
            <w:tcW w:w="2408" w:type="dxa"/>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820</w:t>
            </w:r>
          </w:p>
        </w:tc>
        <w:tc>
          <w:tcPr>
            <w:tcW w:w="2408" w:type="dxa"/>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4"/>
                <w:szCs w:val="24"/>
                <w:u w:val="none"/>
                <w:lang w:val="en-US" w:eastAsia="zh-CN" w:bidi="ar"/>
              </w:rPr>
            </w:pPr>
            <w:r>
              <w:rPr>
                <w:rFonts w:hint="default" w:ascii="仿宋_GB2312" w:hAnsi="仿宋_GB2312" w:eastAsia="仿宋_GB2312" w:cs="仿宋_GB2312"/>
                <w:i w:val="0"/>
                <w:iCs w:val="0"/>
                <w:color w:val="000000"/>
                <w:kern w:val="0"/>
                <w:sz w:val="24"/>
                <w:szCs w:val="24"/>
                <w:u w:val="none"/>
                <w:lang w:val="en-US" w:eastAsia="zh-CN" w:bidi="ar"/>
              </w:rPr>
              <w:t>0471-4935437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703" w:type="dxa"/>
            <w:vAlign w:val="center"/>
          </w:tcPr>
          <w:p>
            <w:pPr>
              <w:keepNext w:val="0"/>
              <w:keepLines w:val="0"/>
              <w:widowControl/>
              <w:suppressLineNumbers w:val="0"/>
              <w:jc w:val="center"/>
              <w:textAlignment w:val="bottom"/>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4111" w:type="dxa"/>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内蒙古自治区中医医院</w:t>
            </w:r>
          </w:p>
        </w:tc>
        <w:tc>
          <w:tcPr>
            <w:tcW w:w="2408" w:type="dxa"/>
            <w:vAlign w:val="bottom"/>
          </w:tcPr>
          <w:p>
            <w:pPr>
              <w:keepNext w:val="0"/>
              <w:keepLines w:val="0"/>
              <w:widowControl/>
              <w:suppressLineNumbers w:val="0"/>
              <w:jc w:val="left"/>
              <w:textAlignment w:val="bottom"/>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内蒙古自治区呼和浩特市新城区健康街</w:t>
            </w:r>
          </w:p>
        </w:tc>
        <w:tc>
          <w:tcPr>
            <w:tcW w:w="2408" w:type="dxa"/>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甲等,三级</w:t>
            </w:r>
          </w:p>
        </w:tc>
        <w:tc>
          <w:tcPr>
            <w:tcW w:w="2408" w:type="dxa"/>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959</w:t>
            </w:r>
          </w:p>
        </w:tc>
        <w:tc>
          <w:tcPr>
            <w:tcW w:w="2408" w:type="dxa"/>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0471-6920457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keepNext w:val="0"/>
              <w:keepLines w:val="0"/>
              <w:widowControl/>
              <w:suppressLineNumbers w:val="0"/>
              <w:jc w:val="center"/>
              <w:textAlignment w:val="bottom"/>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4111" w:type="dxa"/>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内蒙古自治区妇幼保健院（（内蒙古自治区儿童医院）（内蒙古自治区妇产医院））</w:t>
            </w:r>
          </w:p>
        </w:tc>
        <w:tc>
          <w:tcPr>
            <w:tcW w:w="2408" w:type="dxa"/>
            <w:vAlign w:val="bottom"/>
          </w:tcPr>
          <w:p>
            <w:pPr>
              <w:keepNext w:val="0"/>
              <w:keepLines w:val="0"/>
              <w:widowControl/>
              <w:suppressLineNumbers w:val="0"/>
              <w:jc w:val="left"/>
              <w:textAlignment w:val="bottom"/>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内蒙古自治区呼和浩特市新新城区北二环快速路18号</w:t>
            </w:r>
          </w:p>
        </w:tc>
        <w:tc>
          <w:tcPr>
            <w:tcW w:w="2408" w:type="dxa"/>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甲等,三级</w:t>
            </w:r>
          </w:p>
        </w:tc>
        <w:tc>
          <w:tcPr>
            <w:tcW w:w="2408" w:type="dxa"/>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800</w:t>
            </w:r>
          </w:p>
        </w:tc>
        <w:tc>
          <w:tcPr>
            <w:tcW w:w="2408" w:type="dxa"/>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0471-6357471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keepNext w:val="0"/>
              <w:keepLines w:val="0"/>
              <w:widowControl/>
              <w:suppressLineNumbers w:val="0"/>
              <w:jc w:val="center"/>
              <w:textAlignment w:val="bottom"/>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4111" w:type="dxa"/>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内蒙古自治区第四医院</w:t>
            </w:r>
          </w:p>
        </w:tc>
        <w:tc>
          <w:tcPr>
            <w:tcW w:w="2408" w:type="dxa"/>
            <w:vAlign w:val="bottom"/>
          </w:tcPr>
          <w:p>
            <w:pPr>
              <w:keepNext w:val="0"/>
              <w:keepLines w:val="0"/>
              <w:widowControl/>
              <w:suppressLineNumbers w:val="0"/>
              <w:jc w:val="left"/>
              <w:textAlignment w:val="bottom"/>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内蒙古呼和浩特市新城区机场路与110国道连接路中段</w:t>
            </w:r>
          </w:p>
        </w:tc>
        <w:tc>
          <w:tcPr>
            <w:tcW w:w="2408" w:type="dxa"/>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甲等,三级</w:t>
            </w:r>
          </w:p>
        </w:tc>
        <w:tc>
          <w:tcPr>
            <w:tcW w:w="2408" w:type="dxa"/>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620</w:t>
            </w:r>
          </w:p>
        </w:tc>
        <w:tc>
          <w:tcPr>
            <w:tcW w:w="2408" w:type="dxa"/>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0471-2318303</w:t>
            </w:r>
          </w:p>
        </w:tc>
      </w:tr>
    </w:tbl>
    <w:p>
      <w:pPr>
        <w:rPr>
          <w:rFonts w:hint="eastAsia"/>
          <w:lang w:val="en-US" w:eastAsia="zh-CN"/>
        </w:rPr>
        <w:sectPr>
          <w:pgSz w:w="16838" w:h="11906" w:orient="landscape"/>
          <w:pgMar w:top="1474" w:right="1304" w:bottom="1474" w:left="1304"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1"/>
        <w:rPr>
          <w:rFonts w:hint="eastAsia" w:ascii="黑体" w:eastAsia="黑体"/>
          <w:bCs/>
          <w:color w:val="auto"/>
          <w:kern w:val="44"/>
          <w:sz w:val="32"/>
          <w:szCs w:val="44"/>
          <w:lang w:val="en-US" w:eastAsia="zh-CN"/>
        </w:rPr>
      </w:pPr>
      <w:bookmarkStart w:id="239" w:name="_Toc22321"/>
      <w:r>
        <w:rPr>
          <w:rFonts w:hint="eastAsia" w:ascii="黑体" w:eastAsia="黑体"/>
          <w:bCs/>
          <w:color w:val="auto"/>
          <w:kern w:val="44"/>
          <w:sz w:val="32"/>
          <w:szCs w:val="44"/>
          <w:lang w:val="en-US" w:eastAsia="zh-CN"/>
        </w:rPr>
        <w:t>附件9 重要目标和重大危险源保护力量的组成及调动</w:t>
      </w:r>
      <w:bookmarkStart w:id="240" w:name="_Toc23621"/>
      <w:bookmarkStart w:id="241" w:name="_Toc3094"/>
      <w:r>
        <w:rPr>
          <w:rFonts w:hint="eastAsia" w:ascii="黑体" w:eastAsia="黑体"/>
          <w:bCs/>
          <w:color w:val="auto"/>
          <w:kern w:val="44"/>
          <w:sz w:val="32"/>
          <w:szCs w:val="44"/>
          <w:lang w:val="en-US" w:eastAsia="zh-CN"/>
        </w:rPr>
        <w:t>方案</w:t>
      </w:r>
      <w:bookmarkEnd w:id="239"/>
      <w:bookmarkEnd w:id="240"/>
      <w:bookmarkEnd w:id="241"/>
    </w:p>
    <w:p>
      <w:pPr>
        <w:keepNext w:val="0"/>
        <w:keepLines w:val="0"/>
        <w:pageBreakBefore w:val="0"/>
        <w:widowControl w:val="0"/>
        <w:kinsoku/>
        <w:wordWrap/>
        <w:overflowPunct/>
        <w:topLinePunct w:val="0"/>
        <w:autoSpaceDE/>
        <w:autoSpaceDN/>
        <w:bidi w:val="0"/>
        <w:snapToGrid/>
        <w:spacing w:line="360" w:lineRule="auto"/>
        <w:ind w:firstLine="48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根据区林区</w:t>
      </w:r>
      <w:r>
        <w:rPr>
          <w:rFonts w:hint="eastAsia" w:ascii="仿宋_GB2312" w:hAnsi="仿宋_GB2312" w:eastAsia="仿宋_GB2312" w:cs="仿宋_GB2312"/>
          <w:color w:val="auto"/>
          <w:kern w:val="0"/>
          <w:sz w:val="32"/>
          <w:szCs w:val="32"/>
          <w:lang w:val="en-US" w:eastAsia="zh-CN"/>
        </w:rPr>
        <w:t>草原</w:t>
      </w:r>
      <w:r>
        <w:rPr>
          <w:rFonts w:hint="eastAsia" w:ascii="仿宋_GB2312" w:hAnsi="仿宋_GB2312" w:eastAsia="仿宋_GB2312" w:cs="仿宋_GB2312"/>
          <w:color w:val="auto"/>
          <w:kern w:val="0"/>
          <w:sz w:val="32"/>
          <w:szCs w:val="32"/>
        </w:rPr>
        <w:t>分布的重要目标和重大危险源，如居民区、文物古迹、军事设施、油库、加油站、液化气站、易燃化学品仓库、供变电站、油气管线等地面设施目标情况，在保护力量调动上，坚持以区消防救援队伍为主，驻地解放军、武警、民兵和预备役为补充的力量调动原则。</w:t>
      </w:r>
    </w:p>
    <w:p>
      <w:pPr>
        <w:keepNext w:val="0"/>
        <w:keepLines w:val="0"/>
        <w:pageBreakBefore w:val="0"/>
        <w:widowControl w:val="0"/>
        <w:kinsoku/>
        <w:wordWrap/>
        <w:overflowPunct/>
        <w:topLinePunct w:val="0"/>
        <w:autoSpaceDE/>
        <w:autoSpaceDN/>
        <w:bidi w:val="0"/>
        <w:snapToGrid/>
        <w:spacing w:line="36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1.在火情早期初判火灾可能对重要目标或重大危险源构成威胁时，立即调动消防救援</w:t>
      </w:r>
      <w:r>
        <w:rPr>
          <w:rFonts w:hint="eastAsia" w:ascii="仿宋_GB2312" w:hAnsi="仿宋_GB2312" w:eastAsia="仿宋_GB2312" w:cs="仿宋_GB2312"/>
          <w:color w:val="auto"/>
          <w:kern w:val="0"/>
          <w:sz w:val="32"/>
          <w:szCs w:val="32"/>
          <w:lang w:val="en-US" w:eastAsia="zh-CN"/>
        </w:rPr>
        <w:t>大</w:t>
      </w:r>
      <w:r>
        <w:rPr>
          <w:rFonts w:hint="eastAsia" w:ascii="仿宋_GB2312" w:hAnsi="仿宋_GB2312" w:eastAsia="仿宋_GB2312" w:cs="仿宋_GB2312"/>
          <w:color w:val="auto"/>
          <w:kern w:val="0"/>
          <w:sz w:val="32"/>
          <w:szCs w:val="32"/>
        </w:rPr>
        <w:t>队伍展开重要目标、重大危险源的保护行动；</w:t>
      </w:r>
    </w:p>
    <w:p>
      <w:pPr>
        <w:keepNext w:val="0"/>
        <w:keepLines w:val="0"/>
        <w:pageBreakBefore w:val="0"/>
        <w:widowControl w:val="0"/>
        <w:kinsoku/>
        <w:wordWrap/>
        <w:overflowPunct/>
        <w:topLinePunct w:val="0"/>
        <w:autoSpaceDE/>
        <w:autoSpaceDN/>
        <w:bidi w:val="0"/>
        <w:snapToGrid/>
        <w:spacing w:line="36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2.消防救援力量不足时，可</w:t>
      </w:r>
      <w:r>
        <w:rPr>
          <w:rFonts w:hint="eastAsia" w:ascii="仿宋_GB2312" w:hAnsi="仿宋_GB2312" w:eastAsia="仿宋_GB2312" w:cs="仿宋_GB2312"/>
          <w:color w:val="auto"/>
          <w:kern w:val="0"/>
          <w:sz w:val="32"/>
          <w:szCs w:val="32"/>
          <w:lang w:val="en-US" w:eastAsia="zh-CN"/>
        </w:rPr>
        <w:t>协调</w:t>
      </w:r>
      <w:r>
        <w:rPr>
          <w:rFonts w:hint="eastAsia" w:ascii="仿宋_GB2312" w:hAnsi="仿宋_GB2312" w:eastAsia="仿宋_GB2312" w:cs="仿宋_GB2312"/>
          <w:color w:val="auto"/>
          <w:kern w:val="0"/>
          <w:sz w:val="32"/>
          <w:szCs w:val="32"/>
        </w:rPr>
        <w:t>调动市森林消防特勤大队、综合消防救援队伍，必要时当地解放军、武警、民兵、预备役等力量实施增援保护行动。</w:t>
      </w:r>
    </w:p>
    <w:p>
      <w:pPr>
        <w:keepNext w:val="0"/>
        <w:keepLines w:val="0"/>
        <w:pageBreakBefore w:val="0"/>
        <w:widowControl w:val="0"/>
        <w:kinsoku/>
        <w:wordWrap/>
        <w:overflowPunct/>
        <w:topLinePunct w:val="0"/>
        <w:autoSpaceDE/>
        <w:autoSpaceDN/>
        <w:bidi w:val="0"/>
        <w:snapToGrid/>
        <w:spacing w:line="36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rPr>
        <w:t>消防救援</w:t>
      </w:r>
      <w:r>
        <w:rPr>
          <w:rFonts w:hint="eastAsia" w:ascii="仿宋_GB2312" w:hAnsi="仿宋_GB2312" w:eastAsia="仿宋_GB2312" w:cs="仿宋_GB2312"/>
          <w:color w:val="auto"/>
          <w:kern w:val="0"/>
          <w:sz w:val="32"/>
          <w:szCs w:val="32"/>
          <w:lang w:val="en-US" w:eastAsia="zh-CN"/>
        </w:rPr>
        <w:t>大</w:t>
      </w:r>
      <w:r>
        <w:rPr>
          <w:rFonts w:hint="eastAsia" w:ascii="仿宋_GB2312" w:hAnsi="仿宋_GB2312" w:eastAsia="仿宋_GB2312" w:cs="仿宋_GB2312"/>
          <w:color w:val="auto"/>
          <w:kern w:val="0"/>
          <w:sz w:val="32"/>
          <w:szCs w:val="32"/>
        </w:rPr>
        <w:t>队根据保护行动需要，制定跨旗县区增援保卫重要目标和重大危险源行动的应急预案，组织实施跨旗县区增援保护工作和现场组织指挥。</w:t>
      </w:r>
    </w:p>
    <w:p>
      <w:pPr>
        <w:keepNext w:val="0"/>
        <w:keepLines w:val="0"/>
        <w:pageBreakBefore w:val="0"/>
        <w:widowControl w:val="0"/>
        <w:kinsoku/>
        <w:wordWrap/>
        <w:overflowPunct/>
        <w:topLinePunct w:val="0"/>
        <w:autoSpaceDE/>
        <w:autoSpaceDN/>
        <w:bidi w:val="0"/>
        <w:snapToGrid/>
        <w:spacing w:line="36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4.重要目标物和重大危险源受到森林火灾威胁时，可以采取开设阻隔带、清除障碍物、应急取水、局部交通管制等应急保护措施。</w:t>
      </w:r>
    </w:p>
    <w:p>
      <w:pPr>
        <w:keepNext w:val="0"/>
        <w:keepLines w:val="0"/>
        <w:pageBreakBefore w:val="0"/>
        <w:widowControl w:val="0"/>
        <w:kinsoku/>
        <w:wordWrap/>
        <w:overflowPunct/>
        <w:topLinePunct w:val="0"/>
        <w:autoSpaceDE/>
        <w:autoSpaceDN/>
        <w:bidi w:val="0"/>
        <w:snapToGrid/>
        <w:spacing w:line="36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5.组织保卫重要目标和危险源行动中，可以调用大型机械在其周围开设阻隔带；必要时，由森林消防特勤大队、专业扑火队伍依托隔离带，采取以火攻火，阻截火势蔓延，消除威胁影响。</w:t>
      </w:r>
    </w:p>
    <w:p>
      <w:pPr>
        <w:pageBreakBefore w:val="0"/>
        <w:widowControl w:val="0"/>
        <w:kinsoku/>
        <w:wordWrap/>
        <w:overflowPunct/>
        <w:topLinePunct w:val="0"/>
        <w:autoSpaceDE/>
        <w:autoSpaceDN/>
        <w:bidi w:val="0"/>
        <w:spacing w:line="360" w:lineRule="auto"/>
        <w:ind w:firstLine="640" w:firstLineChars="200"/>
        <w:textAlignment w:val="auto"/>
        <w:rPr>
          <w:rFonts w:hint="eastAsia" w:eastAsia="仿宋_GB2312"/>
          <w:color w:val="auto"/>
          <w:lang w:val="en-US" w:eastAsia="zh-CN"/>
        </w:rPr>
      </w:pPr>
      <w:r>
        <w:rPr>
          <w:rFonts w:hint="eastAsia" w:ascii="仿宋_GB2312" w:hAnsi="仿宋_GB2312" w:eastAsia="仿宋_GB2312" w:cs="仿宋_GB2312"/>
          <w:color w:val="auto"/>
          <w:kern w:val="0"/>
          <w:sz w:val="32"/>
          <w:szCs w:val="32"/>
        </w:rPr>
        <w:t>6.根据需要</w:t>
      </w:r>
      <w:r>
        <w:rPr>
          <w:rFonts w:hint="eastAsia" w:ascii="仿宋_GB2312" w:hAnsi="仿宋_GB2312" w:eastAsia="仿宋_GB2312" w:cs="仿宋_GB2312"/>
          <w:color w:val="auto"/>
          <w:kern w:val="0"/>
          <w:sz w:val="32"/>
          <w:szCs w:val="32"/>
          <w:lang w:val="en-US" w:eastAsia="zh-CN"/>
        </w:rPr>
        <w:t>区森防指</w:t>
      </w:r>
      <w:r>
        <w:rPr>
          <w:rFonts w:hint="eastAsia" w:ascii="仿宋_GB2312" w:hAnsi="仿宋_GB2312" w:eastAsia="仿宋_GB2312" w:cs="仿宋_GB2312"/>
          <w:color w:val="auto"/>
          <w:kern w:val="0"/>
          <w:sz w:val="32"/>
          <w:szCs w:val="32"/>
        </w:rPr>
        <w:t>向自治区</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市</w:t>
      </w:r>
      <w:r>
        <w:rPr>
          <w:rFonts w:hint="eastAsia" w:ascii="仿宋_GB2312" w:hAnsi="仿宋_GB2312" w:eastAsia="仿宋_GB2312" w:cs="仿宋_GB2312"/>
          <w:color w:val="auto"/>
          <w:kern w:val="0"/>
          <w:sz w:val="32"/>
          <w:szCs w:val="32"/>
        </w:rPr>
        <w:t>森林草原防灭火指挥部提出航空消防飞机支援的请求，开展</w:t>
      </w:r>
      <w:r>
        <w:rPr>
          <w:rStyle w:val="24"/>
          <w:rFonts w:hint="eastAsia" w:ascii="仿宋_GB2312" w:hAnsi="仿宋_GB2312" w:eastAsia="仿宋_GB2312" w:cs="仿宋_GB2312"/>
          <w:color w:val="auto"/>
          <w:sz w:val="32"/>
          <w:szCs w:val="32"/>
        </w:rPr>
        <w:t>吊桶作业，</w:t>
      </w:r>
      <w:r>
        <w:rPr>
          <w:rFonts w:hint="eastAsia" w:ascii="仿宋_GB2312" w:hAnsi="仿宋_GB2312" w:eastAsia="仿宋_GB2312" w:cs="仿宋_GB2312"/>
          <w:color w:val="auto"/>
          <w:kern w:val="0"/>
          <w:sz w:val="32"/>
          <w:szCs w:val="32"/>
        </w:rPr>
        <w:t>保卫重要目标和</w:t>
      </w:r>
      <w:r>
        <w:rPr>
          <w:rFonts w:hint="eastAsia" w:ascii="仿宋_GB2312" w:hAnsi="仿宋_GB2312" w:eastAsia="仿宋_GB2312" w:cs="仿宋_GB2312"/>
          <w:color w:val="auto"/>
          <w:kern w:val="0"/>
          <w:sz w:val="32"/>
          <w:szCs w:val="32"/>
          <w:lang w:eastAsia="zh-CN"/>
        </w:rPr>
        <w:t>重大</w:t>
      </w:r>
      <w:r>
        <w:rPr>
          <w:rFonts w:hint="eastAsia" w:ascii="仿宋_GB2312" w:hAnsi="仿宋_GB2312" w:eastAsia="仿宋_GB2312" w:cs="仿宋_GB2312"/>
          <w:color w:val="auto"/>
          <w:kern w:val="0"/>
          <w:sz w:val="32"/>
          <w:szCs w:val="32"/>
        </w:rPr>
        <w:t>危险源的安全</w:t>
      </w:r>
      <w:r>
        <w:rPr>
          <w:rFonts w:hint="eastAsia" w:ascii="仿宋_GB2312" w:hAnsi="仿宋_GB2312" w:eastAsia="仿宋_GB2312" w:cs="仿宋_GB2312"/>
          <w:color w:val="auto"/>
          <w:kern w:val="0"/>
          <w:sz w:val="32"/>
          <w:szCs w:val="32"/>
          <w:lang w:eastAsia="zh-CN"/>
        </w:rPr>
        <w:t>。</w:t>
      </w:r>
    </w:p>
    <w:p>
      <w:pPr>
        <w:pageBreakBefore w:val="0"/>
        <w:widowControl w:val="0"/>
        <w:kinsoku/>
        <w:wordWrap/>
        <w:overflowPunct/>
        <w:topLinePunct w:val="0"/>
        <w:autoSpaceDE/>
        <w:autoSpaceDN/>
        <w:bidi w:val="0"/>
        <w:spacing w:line="360" w:lineRule="auto"/>
        <w:ind w:firstLine="420" w:firstLineChars="200"/>
        <w:textAlignment w:val="auto"/>
        <w:rPr>
          <w:color w:val="auto"/>
        </w:rPr>
      </w:pPr>
    </w:p>
    <w:p>
      <w:pPr>
        <w:pageBreakBefore w:val="0"/>
        <w:widowControl w:val="0"/>
        <w:kinsoku/>
        <w:wordWrap/>
        <w:overflowPunct/>
        <w:topLinePunct w:val="0"/>
        <w:autoSpaceDE/>
        <w:autoSpaceDN/>
        <w:bidi w:val="0"/>
        <w:spacing w:line="360" w:lineRule="auto"/>
        <w:textAlignment w:val="auto"/>
        <w:rPr>
          <w:color w:val="auto"/>
        </w:rPr>
      </w:pPr>
    </w:p>
    <w:p>
      <w:pPr>
        <w:pageBreakBefore w:val="0"/>
        <w:widowControl w:val="0"/>
        <w:kinsoku/>
        <w:wordWrap/>
        <w:overflowPunct/>
        <w:topLinePunct w:val="0"/>
        <w:autoSpaceDE/>
        <w:autoSpaceDN/>
        <w:bidi w:val="0"/>
        <w:spacing w:line="360" w:lineRule="auto"/>
        <w:ind w:firstLine="420" w:firstLineChars="200"/>
        <w:textAlignment w:val="auto"/>
        <w:rPr>
          <w:rFonts w:ascii="Times New Roman" w:hAnsi="Times New Roman" w:eastAsia="仿宋_GB2312" w:cs="Times New Roman"/>
          <w:color w:val="auto"/>
        </w:rPr>
      </w:pPr>
    </w:p>
    <w:p>
      <w:pPr>
        <w:pageBreakBefore w:val="0"/>
        <w:widowControl w:val="0"/>
        <w:kinsoku/>
        <w:wordWrap/>
        <w:overflowPunct/>
        <w:topLinePunct w:val="0"/>
        <w:autoSpaceDE/>
        <w:autoSpaceDN/>
        <w:bidi w:val="0"/>
        <w:spacing w:line="360" w:lineRule="auto"/>
        <w:textAlignment w:val="auto"/>
        <w:rPr>
          <w:rFonts w:ascii="Times New Roman" w:hAnsi="Times New Roman" w:eastAsia="仿宋_GB2312" w:cs="Times New Roman"/>
          <w:color w:val="auto"/>
        </w:rPr>
      </w:pPr>
      <w:r>
        <w:rPr>
          <w:rFonts w:ascii="Times New Roman" w:hAnsi="Times New Roman" w:eastAsia="仿宋_GB2312" w:cs="Times New Roman"/>
          <w:color w:val="auto"/>
        </w:rPr>
        <w:br w:type="page"/>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1"/>
        <w:rPr>
          <w:rFonts w:ascii="Times New Roman" w:hAnsi="Times New Roman" w:eastAsia="仿宋_GB2312" w:cs="Times New Roman"/>
          <w:color w:val="auto"/>
          <w:sz w:val="32"/>
        </w:rPr>
      </w:pPr>
      <w:bookmarkStart w:id="242" w:name="_Toc15480"/>
      <w:r>
        <w:rPr>
          <w:rFonts w:hint="eastAsia" w:ascii="黑体" w:eastAsia="黑体"/>
          <w:bCs/>
          <w:color w:val="auto"/>
          <w:kern w:val="44"/>
          <w:sz w:val="32"/>
          <w:szCs w:val="44"/>
          <w:lang w:val="en-US" w:eastAsia="zh-CN"/>
        </w:rPr>
        <w:t>附件10 森林草原防灭火气象服务和人工增雨作业方案</w:t>
      </w:r>
      <w:bookmarkEnd w:id="242"/>
    </w:p>
    <w:p>
      <w:pPr>
        <w:keepNext w:val="0"/>
        <w:keepLines w:val="0"/>
        <w:pageBreakBefore w:val="0"/>
        <w:widowControl w:val="0"/>
        <w:kinsoku/>
        <w:wordWrap/>
        <w:overflowPunct/>
        <w:topLinePunct w:val="0"/>
        <w:autoSpaceDE/>
        <w:autoSpaceDN/>
        <w:bidi w:val="0"/>
        <w:snapToGrid/>
        <w:spacing w:line="36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1.进入防火期，气象</w:t>
      </w:r>
      <w:r>
        <w:rPr>
          <w:rFonts w:hint="eastAsia" w:ascii="仿宋_GB2312" w:hAnsi="仿宋_GB2312" w:eastAsia="仿宋_GB2312" w:cs="仿宋_GB2312"/>
          <w:color w:val="auto"/>
          <w:kern w:val="0"/>
          <w:sz w:val="32"/>
          <w:szCs w:val="32"/>
          <w:lang w:eastAsia="zh-CN"/>
        </w:rPr>
        <w:t>分</w:t>
      </w:r>
      <w:r>
        <w:rPr>
          <w:rFonts w:hint="eastAsia" w:ascii="仿宋_GB2312" w:hAnsi="仿宋_GB2312" w:eastAsia="仿宋_GB2312" w:cs="仿宋_GB2312"/>
          <w:color w:val="auto"/>
          <w:kern w:val="0"/>
          <w:sz w:val="32"/>
          <w:szCs w:val="32"/>
          <w:lang w:val="en-US" w:eastAsia="zh-CN"/>
        </w:rPr>
        <w:t>局</w:t>
      </w:r>
      <w:r>
        <w:rPr>
          <w:rFonts w:hint="eastAsia" w:ascii="仿宋_GB2312" w:hAnsi="仿宋_GB2312" w:eastAsia="仿宋_GB2312" w:cs="仿宋_GB2312"/>
          <w:color w:val="auto"/>
          <w:kern w:val="0"/>
          <w:sz w:val="32"/>
          <w:szCs w:val="32"/>
        </w:rPr>
        <w:t>根据天气趋势，重点针对高火险区和高火险时段制定人工影响天气作业方案，适时开展人工</w:t>
      </w:r>
      <w:r>
        <w:rPr>
          <w:rStyle w:val="24"/>
          <w:rFonts w:hint="eastAsia" w:ascii="仿宋_GB2312" w:hAnsi="仿宋_GB2312" w:eastAsia="仿宋_GB2312" w:cs="仿宋_GB2312"/>
          <w:color w:val="auto"/>
          <w:sz w:val="32"/>
          <w:szCs w:val="32"/>
        </w:rPr>
        <w:t>增雨</w:t>
      </w:r>
      <w:r>
        <w:rPr>
          <w:rFonts w:hint="eastAsia" w:ascii="仿宋_GB2312" w:hAnsi="仿宋_GB2312" w:eastAsia="仿宋_GB2312" w:cs="仿宋_GB2312"/>
          <w:color w:val="auto"/>
          <w:kern w:val="0"/>
          <w:sz w:val="32"/>
          <w:szCs w:val="32"/>
        </w:rPr>
        <w:t>作业，增加空气湿度和可燃物含水量，降低森林草原火灾发生的可能性。</w:t>
      </w:r>
    </w:p>
    <w:p>
      <w:pPr>
        <w:keepNext w:val="0"/>
        <w:keepLines w:val="0"/>
        <w:pageBreakBefore w:val="0"/>
        <w:widowControl w:val="0"/>
        <w:kinsoku/>
        <w:wordWrap/>
        <w:overflowPunct/>
        <w:topLinePunct w:val="0"/>
        <w:autoSpaceDE/>
        <w:autoSpaceDN/>
        <w:bidi w:val="0"/>
        <w:snapToGrid/>
        <w:spacing w:line="360" w:lineRule="auto"/>
        <w:ind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2.森林草原火情早期处置过程中，区气象</w:t>
      </w:r>
      <w:r>
        <w:rPr>
          <w:rFonts w:hint="eastAsia" w:ascii="仿宋_GB2312" w:hAnsi="仿宋_GB2312" w:eastAsia="仿宋_GB2312" w:cs="仿宋_GB2312"/>
          <w:color w:val="auto"/>
          <w:kern w:val="0"/>
          <w:sz w:val="32"/>
          <w:szCs w:val="32"/>
          <w:lang w:eastAsia="zh-CN"/>
        </w:rPr>
        <w:t>分</w:t>
      </w:r>
      <w:r>
        <w:rPr>
          <w:rFonts w:hint="eastAsia" w:ascii="仿宋_GB2312" w:hAnsi="仿宋_GB2312" w:eastAsia="仿宋_GB2312" w:cs="仿宋_GB2312"/>
          <w:color w:val="auto"/>
          <w:kern w:val="0"/>
          <w:sz w:val="32"/>
          <w:szCs w:val="32"/>
          <w:lang w:val="en-US" w:eastAsia="zh-CN"/>
        </w:rPr>
        <w:t>局</w:t>
      </w:r>
      <w:r>
        <w:rPr>
          <w:rFonts w:hint="eastAsia" w:ascii="仿宋_GB2312" w:hAnsi="仿宋_GB2312" w:eastAsia="仿宋_GB2312" w:cs="仿宋_GB2312"/>
          <w:color w:val="auto"/>
          <w:kern w:val="0"/>
          <w:sz w:val="32"/>
          <w:szCs w:val="32"/>
        </w:rPr>
        <w:t>要为扑火工作提供火场气象服务，包括火场天气实况、天气预报、天气形势分析、高火险天气预报和火势蔓延气象条件分析等，适时利用有利天气条件，在火灾区域上空开展人工</w:t>
      </w:r>
      <w:r>
        <w:rPr>
          <w:rStyle w:val="24"/>
          <w:rFonts w:hint="eastAsia" w:ascii="仿宋_GB2312" w:hAnsi="仿宋_GB2312" w:eastAsia="仿宋_GB2312" w:cs="仿宋_GB2312"/>
          <w:color w:val="auto"/>
          <w:sz w:val="32"/>
          <w:szCs w:val="32"/>
        </w:rPr>
        <w:t>增雨</w:t>
      </w:r>
      <w:r>
        <w:rPr>
          <w:rFonts w:hint="eastAsia" w:ascii="仿宋_GB2312" w:hAnsi="仿宋_GB2312" w:eastAsia="仿宋_GB2312" w:cs="仿宋_GB2312"/>
          <w:color w:val="auto"/>
          <w:kern w:val="0"/>
          <w:sz w:val="32"/>
          <w:szCs w:val="32"/>
        </w:rPr>
        <w:t>作业，降低火强度，减弱火势蔓延。</w:t>
      </w:r>
    </w:p>
    <w:p>
      <w:pPr>
        <w:keepNext w:val="0"/>
        <w:keepLines w:val="0"/>
        <w:pageBreakBefore w:val="0"/>
        <w:widowControl w:val="0"/>
        <w:kinsoku/>
        <w:wordWrap/>
        <w:overflowPunct/>
        <w:topLinePunct w:val="0"/>
        <w:autoSpaceDE/>
        <w:autoSpaceDN/>
        <w:bidi w:val="0"/>
        <w:snapToGrid/>
        <w:spacing w:line="360" w:lineRule="auto"/>
        <w:ind w:firstLine="640" w:firstLineChars="200"/>
        <w:jc w:val="both"/>
        <w:textAlignment w:val="auto"/>
        <w:outlineLvl w:val="9"/>
        <w:rPr>
          <w:rFonts w:hint="eastAsia" w:ascii="仿宋_GB2312" w:hAnsi="仿宋_GB2312" w:eastAsia="仿宋_GB2312" w:cs="仿宋_GB2312"/>
          <w:b/>
          <w:bCs/>
          <w:color w:val="auto"/>
          <w:kern w:val="0"/>
          <w:sz w:val="32"/>
          <w:szCs w:val="32"/>
          <w:highlight w:val="yellow"/>
          <w:lang w:eastAsia="zh-CN"/>
        </w:rPr>
        <w:sectPr>
          <w:pgSz w:w="11906" w:h="16838"/>
          <w:pgMar w:top="1304" w:right="1474" w:bottom="1304" w:left="1474"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val="en-US" w:eastAsia="zh-CN"/>
        </w:rPr>
        <w:t>区</w:t>
      </w:r>
      <w:r>
        <w:rPr>
          <w:rFonts w:hint="eastAsia" w:ascii="仿宋_GB2312" w:hAnsi="仿宋_GB2312" w:eastAsia="仿宋_GB2312" w:cs="仿宋_GB2312"/>
          <w:color w:val="auto"/>
          <w:kern w:val="0"/>
          <w:sz w:val="32"/>
          <w:szCs w:val="32"/>
          <w:highlight w:val="none"/>
        </w:rPr>
        <w:t>气象</w:t>
      </w:r>
      <w:r>
        <w:rPr>
          <w:rFonts w:hint="eastAsia" w:ascii="仿宋_GB2312" w:hAnsi="仿宋_GB2312" w:eastAsia="仿宋_GB2312" w:cs="仿宋_GB2312"/>
          <w:color w:val="auto"/>
          <w:kern w:val="0"/>
          <w:sz w:val="32"/>
          <w:szCs w:val="32"/>
          <w:highlight w:val="none"/>
          <w:lang w:val="en-US" w:eastAsia="zh-CN"/>
        </w:rPr>
        <w:t>局</w:t>
      </w:r>
      <w:r>
        <w:rPr>
          <w:rStyle w:val="24"/>
          <w:rFonts w:hint="eastAsia" w:ascii="仿宋_GB2312" w:hAnsi="仿宋_GB2312" w:eastAsia="仿宋_GB2312" w:cs="仿宋_GB2312"/>
          <w:color w:val="auto"/>
          <w:sz w:val="32"/>
          <w:szCs w:val="32"/>
          <w:highlight w:val="none"/>
        </w:rPr>
        <w:t>负责</w:t>
      </w:r>
      <w:r>
        <w:rPr>
          <w:rStyle w:val="24"/>
          <w:rFonts w:hint="eastAsia" w:ascii="仿宋_GB2312" w:hAnsi="仿宋_GB2312" w:eastAsia="仿宋_GB2312" w:cs="仿宋_GB2312"/>
          <w:color w:val="auto"/>
          <w:sz w:val="32"/>
          <w:szCs w:val="32"/>
          <w:highlight w:val="none"/>
          <w:lang w:val="en-US" w:eastAsia="zh-CN"/>
        </w:rPr>
        <w:t>本区</w:t>
      </w:r>
      <w:r>
        <w:rPr>
          <w:rStyle w:val="24"/>
          <w:rFonts w:hint="eastAsia" w:ascii="仿宋_GB2312" w:hAnsi="仿宋_GB2312" w:eastAsia="仿宋_GB2312" w:cs="仿宋_GB2312"/>
          <w:color w:val="auto"/>
          <w:sz w:val="32"/>
          <w:szCs w:val="32"/>
          <w:highlight w:val="none"/>
        </w:rPr>
        <w:t>重点林区</w:t>
      </w:r>
      <w:r>
        <w:rPr>
          <w:rStyle w:val="24"/>
          <w:rFonts w:hint="eastAsia" w:ascii="仿宋_GB2312" w:hAnsi="仿宋_GB2312" w:eastAsia="仿宋_GB2312" w:cs="仿宋_GB2312"/>
          <w:color w:val="auto"/>
          <w:sz w:val="32"/>
          <w:szCs w:val="32"/>
          <w:highlight w:val="none"/>
          <w:lang w:val="en-US" w:eastAsia="zh-CN"/>
        </w:rPr>
        <w:t>草原</w:t>
      </w:r>
      <w:r>
        <w:rPr>
          <w:rStyle w:val="24"/>
          <w:rFonts w:hint="eastAsia" w:ascii="仿宋_GB2312" w:hAnsi="仿宋_GB2312" w:eastAsia="仿宋_GB2312" w:cs="仿宋_GB2312"/>
          <w:color w:val="auto"/>
          <w:sz w:val="32"/>
          <w:szCs w:val="32"/>
          <w:highlight w:val="none"/>
        </w:rPr>
        <w:t>以及重点时段的气象监测，</w:t>
      </w:r>
      <w:r>
        <w:rPr>
          <w:rFonts w:hint="eastAsia" w:ascii="仿宋_GB2312" w:hAnsi="仿宋_GB2312" w:eastAsia="仿宋_GB2312" w:cs="仿宋_GB2312"/>
          <w:color w:val="auto"/>
          <w:sz w:val="32"/>
          <w:szCs w:val="32"/>
          <w:highlight w:val="none"/>
        </w:rPr>
        <w:t>发布森林草原火险气象预报和火险气象等级预报</w:t>
      </w:r>
      <w:r>
        <w:rPr>
          <w:rStyle w:val="24"/>
          <w:rFonts w:hint="eastAsia" w:ascii="仿宋_GB2312" w:hAnsi="仿宋_GB2312" w:eastAsia="仿宋_GB2312" w:cs="仿宋_GB2312"/>
          <w:color w:val="auto"/>
          <w:sz w:val="32"/>
          <w:szCs w:val="32"/>
          <w:highlight w:val="none"/>
        </w:rPr>
        <w:t>，</w:t>
      </w:r>
      <w:r>
        <w:rPr>
          <w:rStyle w:val="24"/>
          <w:rFonts w:hint="eastAsia" w:ascii="仿宋_GB2312" w:hAnsi="仿宋_GB2312" w:eastAsia="仿宋_GB2312" w:cs="仿宋_GB2312"/>
          <w:color w:val="auto"/>
          <w:sz w:val="32"/>
          <w:szCs w:val="32"/>
          <w:highlight w:val="none"/>
          <w:lang w:val="en-US" w:eastAsia="zh-CN"/>
        </w:rPr>
        <w:t>并</w:t>
      </w:r>
      <w:r>
        <w:rPr>
          <w:rStyle w:val="24"/>
          <w:rFonts w:hint="eastAsia" w:ascii="仿宋_GB2312" w:hAnsi="仿宋_GB2312" w:eastAsia="仿宋_GB2312" w:cs="仿宋_GB2312"/>
          <w:color w:val="auto"/>
          <w:sz w:val="32"/>
          <w:szCs w:val="32"/>
          <w:highlight w:val="none"/>
        </w:rPr>
        <w:t>做好气象服务和人工影响天气作业。发生难以控制的大面积森林草原火灾时，组织移动气象站到火灾现地，重点分析预测火场周边气温、降水、风力、风向等变化趋势，研究开展人工增雨的可能性和时机，为扑救大规模火灾提供科学决策依据，根据有利天气条件组织开展人工增雨作业，为彻底扑灭森林草原火灾创造有利条件</w:t>
      </w:r>
      <w:r>
        <w:rPr>
          <w:rStyle w:val="24"/>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320" w:beforeLines="100" w:line="360" w:lineRule="auto"/>
        <w:ind w:firstLine="640" w:firstLineChars="200"/>
        <w:jc w:val="both"/>
        <w:textAlignment w:val="auto"/>
        <w:outlineLvl w:val="1"/>
        <w:rPr>
          <w:rFonts w:hint="eastAsia" w:ascii="黑体" w:eastAsia="黑体"/>
          <w:bCs/>
          <w:color w:val="auto"/>
          <w:kern w:val="44"/>
          <w:sz w:val="32"/>
          <w:szCs w:val="44"/>
          <w:lang w:val="en-US" w:eastAsia="zh-CN"/>
        </w:rPr>
      </w:pPr>
      <w:bookmarkStart w:id="243" w:name="_Toc29305"/>
      <w:bookmarkStart w:id="244" w:name="_Toc2432"/>
      <w:r>
        <w:rPr>
          <w:rFonts w:hint="eastAsia" w:ascii="黑体" w:eastAsia="黑体"/>
          <w:bCs/>
          <w:color w:val="auto"/>
          <w:kern w:val="44"/>
          <w:sz w:val="32"/>
          <w:szCs w:val="44"/>
          <w:lang w:val="en-US" w:eastAsia="zh-CN"/>
        </w:rPr>
        <w:t>附件11 新城区森林草原防火区域图</w:t>
      </w:r>
      <w:bookmarkEnd w:id="243"/>
      <w:bookmarkEnd w:id="244"/>
    </w:p>
    <w:p>
      <w:pPr>
        <w:pageBreakBefore w:val="0"/>
        <w:widowControl w:val="0"/>
        <w:kinsoku/>
        <w:wordWrap/>
        <w:overflowPunct/>
        <w:topLinePunct w:val="0"/>
        <w:autoSpaceDE/>
        <w:autoSpaceDN/>
        <w:bidi w:val="0"/>
        <w:spacing w:line="360" w:lineRule="auto"/>
        <w:ind w:firstLine="420" w:firstLineChars="200"/>
        <w:textAlignment w:val="auto"/>
        <w:rPr>
          <w:color w:val="auto"/>
        </w:rPr>
      </w:pPr>
      <w:r>
        <w:rPr>
          <w:color w:val="auto"/>
        </w:rPr>
        <w:drawing>
          <wp:inline distT="0" distB="0" distL="114300" distR="114300">
            <wp:extent cx="5640070" cy="7632065"/>
            <wp:effectExtent l="0" t="0" r="11430" b="635"/>
            <wp:docPr id="1" name="图片 1" descr="01呼和浩特市新城区森林草原防火区域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1呼和浩特市新城区森林草原防火区域图(1)"/>
                    <pic:cNvPicPr>
                      <a:picLocks noChangeAspect="1"/>
                    </pic:cNvPicPr>
                  </pic:nvPicPr>
                  <pic:blipFill>
                    <a:blip r:embed="rId7"/>
                    <a:stretch>
                      <a:fillRect/>
                    </a:stretch>
                  </pic:blipFill>
                  <pic:spPr>
                    <a:xfrm>
                      <a:off x="0" y="0"/>
                      <a:ext cx="5640070" cy="7632065"/>
                    </a:xfrm>
                    <a:prstGeom prst="rect">
                      <a:avLst/>
                    </a:prstGeom>
                  </pic:spPr>
                </pic:pic>
              </a:graphicData>
            </a:graphic>
          </wp:inline>
        </w:drawing>
      </w:r>
    </w:p>
    <w:p>
      <w:pPr>
        <w:rPr>
          <w:color w:val="auto"/>
        </w:rPr>
      </w:pPr>
      <w:r>
        <w:rPr>
          <w:color w:val="auto"/>
        </w:rPr>
        <w:br w:type="page"/>
      </w:r>
    </w:p>
    <w:p>
      <w:pPr>
        <w:keepNext w:val="0"/>
        <w:keepLines w:val="0"/>
        <w:pageBreakBefore w:val="0"/>
        <w:widowControl w:val="0"/>
        <w:kinsoku/>
        <w:wordWrap/>
        <w:overflowPunct/>
        <w:topLinePunct w:val="0"/>
        <w:autoSpaceDE/>
        <w:autoSpaceDN/>
        <w:bidi w:val="0"/>
        <w:adjustRightInd/>
        <w:snapToGrid/>
        <w:spacing w:before="320" w:beforeLines="100" w:line="360" w:lineRule="auto"/>
        <w:ind w:firstLine="640" w:firstLineChars="200"/>
        <w:jc w:val="both"/>
        <w:textAlignment w:val="auto"/>
        <w:outlineLvl w:val="1"/>
        <w:rPr>
          <w:rFonts w:hint="eastAsia" w:ascii="黑体" w:eastAsia="黑体"/>
          <w:bCs/>
          <w:color w:val="auto"/>
          <w:kern w:val="44"/>
          <w:sz w:val="32"/>
          <w:szCs w:val="44"/>
          <w:lang w:val="en-US" w:eastAsia="zh-CN"/>
        </w:rPr>
      </w:pPr>
      <w:bookmarkStart w:id="245" w:name="_Toc19749"/>
      <w:r>
        <w:rPr>
          <w:rFonts w:hint="eastAsia" w:ascii="黑体" w:eastAsia="黑体"/>
          <w:bCs/>
          <w:color w:val="auto"/>
          <w:kern w:val="44"/>
          <w:sz w:val="32"/>
          <w:szCs w:val="44"/>
          <w:lang w:val="en-US" w:eastAsia="zh-CN"/>
        </w:rPr>
        <w:t>附件12 预案专家评审意见</w:t>
      </w:r>
      <w:bookmarkEnd w:id="245"/>
    </w:p>
    <w:p>
      <w:pPr>
        <w:pStyle w:val="2"/>
        <w:jc w:val="left"/>
        <w:rPr>
          <w:rFonts w:hint="default"/>
          <w:color w:val="auto"/>
          <w:lang w:val="en-US" w:eastAsia="zh-CN"/>
        </w:rPr>
      </w:pPr>
      <w:bookmarkStart w:id="246" w:name="_Toc31877"/>
      <w:bookmarkStart w:id="247" w:name="_Toc24238"/>
      <w:r>
        <w:rPr>
          <w:rFonts w:hint="default"/>
          <w:color w:val="auto"/>
          <w:lang w:val="en-US" w:eastAsia="zh-CN"/>
        </w:rPr>
        <w:drawing>
          <wp:inline distT="0" distB="0" distL="114300" distR="114300">
            <wp:extent cx="5295265" cy="7168515"/>
            <wp:effectExtent l="0" t="0" r="635" b="6985"/>
            <wp:docPr id="3" name="图片 3" descr="森林草原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森林草原_04"/>
                    <pic:cNvPicPr>
                      <a:picLocks noChangeAspect="1"/>
                    </pic:cNvPicPr>
                  </pic:nvPicPr>
                  <pic:blipFill>
                    <a:blip r:embed="rId7"/>
                    <a:srcRect l="11461" t="7815" r="10858" b="13787"/>
                    <a:stretch>
                      <a:fillRect/>
                    </a:stretch>
                  </pic:blipFill>
                  <pic:spPr>
                    <a:xfrm>
                      <a:off x="0" y="0"/>
                      <a:ext cx="5295265" cy="7168515"/>
                    </a:xfrm>
                    <a:prstGeom prst="rect">
                      <a:avLst/>
                    </a:prstGeom>
                  </pic:spPr>
                </pic:pic>
              </a:graphicData>
            </a:graphic>
          </wp:inline>
        </w:drawing>
      </w:r>
      <w:r>
        <w:rPr>
          <w:rFonts w:hint="default"/>
          <w:color w:val="auto"/>
          <w:lang w:val="en-US" w:eastAsia="zh-CN"/>
        </w:rPr>
        <w:drawing>
          <wp:inline distT="0" distB="0" distL="114300" distR="114300">
            <wp:extent cx="4850765" cy="7325995"/>
            <wp:effectExtent l="0" t="0" r="635" b="1905"/>
            <wp:docPr id="4" name="图片 4" descr="森林草原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森林草原_00"/>
                    <pic:cNvPicPr>
                      <a:picLocks noChangeAspect="1"/>
                    </pic:cNvPicPr>
                  </pic:nvPicPr>
                  <pic:blipFill>
                    <a:blip r:embed="rId7"/>
                    <a:srcRect l="7239" r="9241" b="22046"/>
                    <a:stretch>
                      <a:fillRect/>
                    </a:stretch>
                  </pic:blipFill>
                  <pic:spPr>
                    <a:xfrm>
                      <a:off x="0" y="0"/>
                      <a:ext cx="4850765" cy="7325995"/>
                    </a:xfrm>
                    <a:prstGeom prst="rect">
                      <a:avLst/>
                    </a:prstGeom>
                  </pic:spPr>
                </pic:pic>
              </a:graphicData>
            </a:graphic>
          </wp:inline>
        </w:drawing>
      </w:r>
      <w:r>
        <w:rPr>
          <w:rFonts w:hint="default"/>
          <w:color w:val="auto"/>
          <w:lang w:val="en-US" w:eastAsia="zh-CN"/>
        </w:rPr>
        <w:drawing>
          <wp:inline distT="0" distB="0" distL="114300" distR="114300">
            <wp:extent cx="4490085" cy="7559040"/>
            <wp:effectExtent l="0" t="0" r="5715" b="10160"/>
            <wp:docPr id="7" name="图片 7" descr="森林草原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森林草原_01"/>
                    <pic:cNvPicPr>
                      <a:picLocks noChangeAspect="1"/>
                    </pic:cNvPicPr>
                  </pic:nvPicPr>
                  <pic:blipFill>
                    <a:blip r:embed="rId8"/>
                    <a:srcRect l="9446" r="7842" b="20903"/>
                    <a:stretch>
                      <a:fillRect/>
                    </a:stretch>
                  </pic:blipFill>
                  <pic:spPr>
                    <a:xfrm>
                      <a:off x="0" y="0"/>
                      <a:ext cx="4490085" cy="7559040"/>
                    </a:xfrm>
                    <a:prstGeom prst="rect">
                      <a:avLst/>
                    </a:prstGeom>
                  </pic:spPr>
                </pic:pic>
              </a:graphicData>
            </a:graphic>
          </wp:inline>
        </w:drawing>
      </w:r>
      <w:r>
        <w:rPr>
          <w:rFonts w:hint="default"/>
          <w:color w:val="auto"/>
          <w:lang w:val="en-US" w:eastAsia="zh-CN"/>
        </w:rPr>
        <w:drawing>
          <wp:inline distT="0" distB="0" distL="114300" distR="114300">
            <wp:extent cx="5273675" cy="7316470"/>
            <wp:effectExtent l="0" t="0" r="9525" b="11430"/>
            <wp:docPr id="5" name="图片 5" descr="森林草原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森林草原_03"/>
                    <pic:cNvPicPr>
                      <a:picLocks noChangeAspect="1"/>
                    </pic:cNvPicPr>
                  </pic:nvPicPr>
                  <pic:blipFill>
                    <a:blip r:embed="rId9"/>
                    <a:srcRect l="9651" t="6109" r="7637" b="22609"/>
                    <a:stretch>
                      <a:fillRect/>
                    </a:stretch>
                  </pic:blipFill>
                  <pic:spPr>
                    <a:xfrm>
                      <a:off x="0" y="0"/>
                      <a:ext cx="5273675" cy="7316470"/>
                    </a:xfrm>
                    <a:prstGeom prst="rect">
                      <a:avLst/>
                    </a:prstGeom>
                  </pic:spPr>
                </pic:pic>
              </a:graphicData>
            </a:graphic>
          </wp:inline>
        </w:drawing>
      </w:r>
      <w:r>
        <w:rPr>
          <w:rFonts w:hint="default"/>
          <w:color w:val="auto"/>
          <w:lang w:val="en-US" w:eastAsia="zh-CN"/>
        </w:rPr>
        <w:drawing>
          <wp:inline distT="0" distB="0" distL="114300" distR="114300">
            <wp:extent cx="5655310" cy="7865110"/>
            <wp:effectExtent l="0" t="0" r="8890" b="8890"/>
            <wp:docPr id="6" name="图片 6" descr="森林草原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森林草原_02"/>
                    <pic:cNvPicPr>
                      <a:picLocks noChangeAspect="1"/>
                    </pic:cNvPicPr>
                  </pic:nvPicPr>
                  <pic:blipFill>
                    <a:blip r:embed="rId10"/>
                    <a:srcRect l="7637" t="3131" r="7842" b="20340"/>
                    <a:stretch>
                      <a:fillRect/>
                    </a:stretch>
                  </pic:blipFill>
                  <pic:spPr>
                    <a:xfrm>
                      <a:off x="0" y="0"/>
                      <a:ext cx="5655310" cy="7865110"/>
                    </a:xfrm>
                    <a:prstGeom prst="rect">
                      <a:avLst/>
                    </a:prstGeom>
                  </pic:spPr>
                </pic:pic>
              </a:graphicData>
            </a:graphic>
          </wp:inline>
        </w:drawing>
      </w:r>
      <w:bookmarkEnd w:id="246"/>
      <w:bookmarkEnd w:id="247"/>
    </w:p>
    <w:p>
      <w:pPr>
        <w:pStyle w:val="2"/>
        <w:rPr>
          <w:color w:val="auto"/>
        </w:rPr>
      </w:pPr>
    </w:p>
    <w:sectPr>
      <w:footerReference r:id="rId5" w:type="first"/>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AC8D85"/>
    <w:multiLevelType w:val="singleLevel"/>
    <w:tmpl w:val="62AC8D85"/>
    <w:lvl w:ilvl="0" w:tentative="0">
      <w:start w:val="1"/>
      <w:numFmt w:val="decimal"/>
      <w:suff w:val="nothing"/>
      <w:lvlText w:val="（%1）"/>
      <w:lvlJc w:val="left"/>
      <w:rPr>
        <w:rFonts w:hint="default" w:ascii="仿宋_GB2312" w:hAnsi="仿宋_GB2312" w:eastAsia="仿宋_GB2312" w:cs="仿宋_GB231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5OTIxZjY2YjYzY2UzMWE0MGM3NzM4OTU5NzQzZDAifQ=="/>
  </w:docVars>
  <w:rsids>
    <w:rsidRoot w:val="1B3F022A"/>
    <w:rsid w:val="00037407"/>
    <w:rsid w:val="00337C34"/>
    <w:rsid w:val="004F7B3C"/>
    <w:rsid w:val="00A348EB"/>
    <w:rsid w:val="00A65D26"/>
    <w:rsid w:val="00AB4C07"/>
    <w:rsid w:val="00B52C51"/>
    <w:rsid w:val="00C46949"/>
    <w:rsid w:val="00C62465"/>
    <w:rsid w:val="00EA2D7F"/>
    <w:rsid w:val="010944EF"/>
    <w:rsid w:val="013C06BC"/>
    <w:rsid w:val="01590320"/>
    <w:rsid w:val="01831A44"/>
    <w:rsid w:val="01C50469"/>
    <w:rsid w:val="01E7687A"/>
    <w:rsid w:val="02160F0D"/>
    <w:rsid w:val="021A7BDD"/>
    <w:rsid w:val="02B17BF6"/>
    <w:rsid w:val="02ED1F77"/>
    <w:rsid w:val="036A66B2"/>
    <w:rsid w:val="07A77DA7"/>
    <w:rsid w:val="07E10A34"/>
    <w:rsid w:val="0856630B"/>
    <w:rsid w:val="08843074"/>
    <w:rsid w:val="08F16230"/>
    <w:rsid w:val="09954E0D"/>
    <w:rsid w:val="0A1421D6"/>
    <w:rsid w:val="0B275F39"/>
    <w:rsid w:val="0B5B03AB"/>
    <w:rsid w:val="0C006EC6"/>
    <w:rsid w:val="0C9C72BD"/>
    <w:rsid w:val="0C9F6AEC"/>
    <w:rsid w:val="0CF35458"/>
    <w:rsid w:val="0D205DEA"/>
    <w:rsid w:val="0D6F4C9E"/>
    <w:rsid w:val="0E0E518E"/>
    <w:rsid w:val="0E0F1632"/>
    <w:rsid w:val="0E72571D"/>
    <w:rsid w:val="0FE03471"/>
    <w:rsid w:val="136A730B"/>
    <w:rsid w:val="13983E78"/>
    <w:rsid w:val="14DD6BBD"/>
    <w:rsid w:val="159468C1"/>
    <w:rsid w:val="16942857"/>
    <w:rsid w:val="16F129BB"/>
    <w:rsid w:val="199F2AC1"/>
    <w:rsid w:val="1B3F022A"/>
    <w:rsid w:val="1BAD7459"/>
    <w:rsid w:val="1CB6549B"/>
    <w:rsid w:val="1EA35E34"/>
    <w:rsid w:val="204127D2"/>
    <w:rsid w:val="20E97AC1"/>
    <w:rsid w:val="21242D59"/>
    <w:rsid w:val="21752A77"/>
    <w:rsid w:val="217B0D8B"/>
    <w:rsid w:val="21863561"/>
    <w:rsid w:val="21CA5A31"/>
    <w:rsid w:val="22A30143"/>
    <w:rsid w:val="23130E25"/>
    <w:rsid w:val="23B03957"/>
    <w:rsid w:val="24B16B47"/>
    <w:rsid w:val="25D01F07"/>
    <w:rsid w:val="277327DA"/>
    <w:rsid w:val="283006CB"/>
    <w:rsid w:val="28E05892"/>
    <w:rsid w:val="28E37EFE"/>
    <w:rsid w:val="2982260A"/>
    <w:rsid w:val="2A1D07DB"/>
    <w:rsid w:val="2A2B4EF5"/>
    <w:rsid w:val="2AD26095"/>
    <w:rsid w:val="2C9664DE"/>
    <w:rsid w:val="2D2D6F87"/>
    <w:rsid w:val="2D7E77E3"/>
    <w:rsid w:val="2EA72D69"/>
    <w:rsid w:val="2ED55B28"/>
    <w:rsid w:val="2EF95FFC"/>
    <w:rsid w:val="2FEC2819"/>
    <w:rsid w:val="30C10112"/>
    <w:rsid w:val="31A57242"/>
    <w:rsid w:val="32D02E22"/>
    <w:rsid w:val="32EC4621"/>
    <w:rsid w:val="3390519F"/>
    <w:rsid w:val="33AC2215"/>
    <w:rsid w:val="34741C3F"/>
    <w:rsid w:val="360B1967"/>
    <w:rsid w:val="361137CE"/>
    <w:rsid w:val="363650FE"/>
    <w:rsid w:val="36613B84"/>
    <w:rsid w:val="36CD23FB"/>
    <w:rsid w:val="36E15CD9"/>
    <w:rsid w:val="37C70626"/>
    <w:rsid w:val="386473A8"/>
    <w:rsid w:val="388A535F"/>
    <w:rsid w:val="391D0D8A"/>
    <w:rsid w:val="3A690FC4"/>
    <w:rsid w:val="3A6C77A7"/>
    <w:rsid w:val="3A8053AE"/>
    <w:rsid w:val="3A9D32C7"/>
    <w:rsid w:val="3AB900AC"/>
    <w:rsid w:val="3B9049A4"/>
    <w:rsid w:val="3C333E8E"/>
    <w:rsid w:val="3C4161B8"/>
    <w:rsid w:val="3D21783E"/>
    <w:rsid w:val="3D42082D"/>
    <w:rsid w:val="3EBE3EE3"/>
    <w:rsid w:val="3F05411F"/>
    <w:rsid w:val="3F52287D"/>
    <w:rsid w:val="3F6902F3"/>
    <w:rsid w:val="400B3158"/>
    <w:rsid w:val="403964F1"/>
    <w:rsid w:val="41494F3A"/>
    <w:rsid w:val="421F113C"/>
    <w:rsid w:val="42470693"/>
    <w:rsid w:val="42677786"/>
    <w:rsid w:val="44801C3A"/>
    <w:rsid w:val="456C54B6"/>
    <w:rsid w:val="4583646E"/>
    <w:rsid w:val="45937F6F"/>
    <w:rsid w:val="45F428E0"/>
    <w:rsid w:val="464A1597"/>
    <w:rsid w:val="46983276"/>
    <w:rsid w:val="46D770B9"/>
    <w:rsid w:val="473A7631"/>
    <w:rsid w:val="48BF126D"/>
    <w:rsid w:val="48E81E4C"/>
    <w:rsid w:val="49777AB0"/>
    <w:rsid w:val="49A317DF"/>
    <w:rsid w:val="4A4B639C"/>
    <w:rsid w:val="4B645E12"/>
    <w:rsid w:val="4C2A0F65"/>
    <w:rsid w:val="4D0311C2"/>
    <w:rsid w:val="4DC40DEA"/>
    <w:rsid w:val="4DDC4386"/>
    <w:rsid w:val="50ED2406"/>
    <w:rsid w:val="52E72C19"/>
    <w:rsid w:val="53BD2563"/>
    <w:rsid w:val="54492049"/>
    <w:rsid w:val="553700F3"/>
    <w:rsid w:val="55807CEC"/>
    <w:rsid w:val="55F12761"/>
    <w:rsid w:val="56D03D7D"/>
    <w:rsid w:val="5798756F"/>
    <w:rsid w:val="57AB0CF2"/>
    <w:rsid w:val="58C1750E"/>
    <w:rsid w:val="58C83E84"/>
    <w:rsid w:val="591D64B5"/>
    <w:rsid w:val="5A236E98"/>
    <w:rsid w:val="5AC71A62"/>
    <w:rsid w:val="5B440FD7"/>
    <w:rsid w:val="5BD448EE"/>
    <w:rsid w:val="5DE5230E"/>
    <w:rsid w:val="5DF748C4"/>
    <w:rsid w:val="5EFC7D55"/>
    <w:rsid w:val="5F180F96"/>
    <w:rsid w:val="606114A1"/>
    <w:rsid w:val="60C211B9"/>
    <w:rsid w:val="61671D60"/>
    <w:rsid w:val="619E4E94"/>
    <w:rsid w:val="64571F7C"/>
    <w:rsid w:val="64A4192E"/>
    <w:rsid w:val="65675B08"/>
    <w:rsid w:val="65F11318"/>
    <w:rsid w:val="66546D57"/>
    <w:rsid w:val="68F86039"/>
    <w:rsid w:val="69EC3133"/>
    <w:rsid w:val="6A152565"/>
    <w:rsid w:val="6AA54A38"/>
    <w:rsid w:val="6AFF1A0D"/>
    <w:rsid w:val="6B217424"/>
    <w:rsid w:val="6B4C6EEC"/>
    <w:rsid w:val="6D6C0E2A"/>
    <w:rsid w:val="6D7952F5"/>
    <w:rsid w:val="6DCE64BE"/>
    <w:rsid w:val="6EA47288"/>
    <w:rsid w:val="6F796B58"/>
    <w:rsid w:val="6F924535"/>
    <w:rsid w:val="7035375F"/>
    <w:rsid w:val="70B442B2"/>
    <w:rsid w:val="71030298"/>
    <w:rsid w:val="71453E6C"/>
    <w:rsid w:val="72100F2F"/>
    <w:rsid w:val="72BD5C84"/>
    <w:rsid w:val="734318E0"/>
    <w:rsid w:val="73781BAB"/>
    <w:rsid w:val="75104791"/>
    <w:rsid w:val="75371D1E"/>
    <w:rsid w:val="755E4F59"/>
    <w:rsid w:val="756E1116"/>
    <w:rsid w:val="75D713F9"/>
    <w:rsid w:val="76404A1A"/>
    <w:rsid w:val="76976704"/>
    <w:rsid w:val="77FB236D"/>
    <w:rsid w:val="78302F5D"/>
    <w:rsid w:val="78D879E6"/>
    <w:rsid w:val="796C492D"/>
    <w:rsid w:val="79763600"/>
    <w:rsid w:val="7A305A3A"/>
    <w:rsid w:val="7A8636EA"/>
    <w:rsid w:val="7AD56ED0"/>
    <w:rsid w:val="7B6862ED"/>
    <w:rsid w:val="7CC16371"/>
    <w:rsid w:val="7D172435"/>
    <w:rsid w:val="7EBC0DA3"/>
    <w:rsid w:val="7EC30170"/>
    <w:rsid w:val="7F4B5551"/>
    <w:rsid w:val="7F4C2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rFonts w:ascii="黑体" w:eastAsia="黑体"/>
      <w:bCs/>
      <w:kern w:val="44"/>
      <w:sz w:val="32"/>
      <w:szCs w:val="44"/>
    </w:rPr>
  </w:style>
  <w:style w:type="paragraph" w:styleId="4">
    <w:name w:val="heading 2"/>
    <w:basedOn w:val="1"/>
    <w:next w:val="1"/>
    <w:autoRedefine/>
    <w:semiHidden/>
    <w:unhideWhenUsed/>
    <w:qFormat/>
    <w:uiPriority w:val="0"/>
    <w:pPr>
      <w:keepNext/>
      <w:keepLines/>
      <w:spacing w:before="260" w:after="260" w:line="413" w:lineRule="auto"/>
      <w:outlineLvl w:val="1"/>
    </w:pPr>
    <w:rPr>
      <w:rFonts w:ascii="Arial" w:hAnsi="Arial" w:eastAsia="黑体"/>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cs="宋体"/>
      <w:b/>
      <w:bCs/>
      <w:kern w:val="0"/>
      <w:sz w:val="32"/>
      <w:szCs w:val="32"/>
    </w:rPr>
  </w:style>
  <w:style w:type="paragraph" w:styleId="5">
    <w:name w:val="annotation text"/>
    <w:basedOn w:val="1"/>
    <w:link w:val="22"/>
    <w:qFormat/>
    <w:uiPriority w:val="0"/>
    <w:pPr>
      <w:jc w:val="left"/>
    </w:pPr>
  </w:style>
  <w:style w:type="paragraph" w:styleId="6">
    <w:name w:val="Body Text Indent"/>
    <w:basedOn w:val="1"/>
    <w:qFormat/>
    <w:uiPriority w:val="0"/>
    <w:pPr>
      <w:spacing w:after="120"/>
      <w:ind w:left="420" w:leftChars="200"/>
    </w:pPr>
  </w:style>
  <w:style w:type="paragraph" w:styleId="7">
    <w:name w:val="Balloon Text"/>
    <w:basedOn w:val="1"/>
    <w:link w:val="21"/>
    <w:autoRedefine/>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next w:val="1"/>
    <w:qFormat/>
    <w:uiPriority w:val="0"/>
    <w:pPr>
      <w:spacing w:beforeAutospacing="1" w:afterAutospacing="1"/>
      <w:jc w:val="left"/>
    </w:pPr>
    <w:rPr>
      <w:rFonts w:cs="Times New Roman"/>
      <w:kern w:val="0"/>
      <w:sz w:val="24"/>
    </w:rPr>
  </w:style>
  <w:style w:type="paragraph" w:styleId="13">
    <w:name w:val="annotation subject"/>
    <w:basedOn w:val="5"/>
    <w:next w:val="5"/>
    <w:link w:val="23"/>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qFormat/>
    <w:uiPriority w:val="0"/>
    <w:rPr>
      <w:sz w:val="21"/>
      <w:szCs w:val="21"/>
    </w:rPr>
  </w:style>
  <w:style w:type="paragraph" w:styleId="18">
    <w:name w:val="List Paragraph"/>
    <w:basedOn w:val="1"/>
    <w:qFormat/>
    <w:uiPriority w:val="34"/>
    <w:pPr>
      <w:ind w:firstLine="420" w:firstLineChars="200"/>
    </w:pPr>
  </w:style>
  <w:style w:type="paragraph" w:customStyle="1" w:styleId="19">
    <w:name w:val="WPSOffice手动目录 1"/>
    <w:qFormat/>
    <w:uiPriority w:val="0"/>
    <w:rPr>
      <w:rFonts w:ascii="Times New Roman" w:hAnsi="Times New Roman" w:eastAsia="宋体" w:cs="Times New Roman"/>
      <w:lang w:val="en-US" w:eastAsia="zh-CN" w:bidi="ar-SA"/>
    </w:rPr>
  </w:style>
  <w:style w:type="paragraph" w:customStyle="1" w:styleId="2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1">
    <w:name w:val="批注框文本 Char"/>
    <w:basedOn w:val="16"/>
    <w:link w:val="7"/>
    <w:qFormat/>
    <w:uiPriority w:val="0"/>
    <w:rPr>
      <w:rFonts w:asciiTheme="minorHAnsi" w:hAnsiTheme="minorHAnsi" w:eastAsiaTheme="minorEastAsia" w:cstheme="minorBidi"/>
      <w:kern w:val="2"/>
      <w:sz w:val="18"/>
      <w:szCs w:val="18"/>
    </w:rPr>
  </w:style>
  <w:style w:type="character" w:customStyle="1" w:styleId="22">
    <w:name w:val="批注文字 Char"/>
    <w:basedOn w:val="16"/>
    <w:link w:val="5"/>
    <w:qFormat/>
    <w:uiPriority w:val="0"/>
    <w:rPr>
      <w:rFonts w:asciiTheme="minorHAnsi" w:hAnsiTheme="minorHAnsi" w:eastAsiaTheme="minorEastAsia" w:cstheme="minorBidi"/>
      <w:kern w:val="2"/>
      <w:sz w:val="21"/>
      <w:szCs w:val="24"/>
    </w:rPr>
  </w:style>
  <w:style w:type="character" w:customStyle="1" w:styleId="23">
    <w:name w:val="批注主题 Char"/>
    <w:basedOn w:val="22"/>
    <w:link w:val="13"/>
    <w:qFormat/>
    <w:uiPriority w:val="0"/>
    <w:rPr>
      <w:rFonts w:asciiTheme="minorHAnsi" w:hAnsiTheme="minorHAnsi" w:eastAsiaTheme="minorEastAsia" w:cstheme="minorBidi"/>
      <w:b/>
      <w:bCs/>
      <w:kern w:val="2"/>
      <w:sz w:val="21"/>
      <w:szCs w:val="24"/>
    </w:rPr>
  </w:style>
  <w:style w:type="character" w:customStyle="1" w:styleId="24">
    <w:name w:val="NormalCharacter"/>
    <w:qFormat/>
    <w:uiPriority w:val="0"/>
  </w:style>
  <w:style w:type="table" w:customStyle="1" w:styleId="2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NUL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5BD79D-15A5-450A-B4F4-E17697E7E7E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66</Pages>
  <Words>21276</Words>
  <Characters>23592</Characters>
  <Lines>145</Lines>
  <Paragraphs>40</Paragraphs>
  <TotalTime>2</TotalTime>
  <ScaleCrop>false</ScaleCrop>
  <LinksUpToDate>false</LinksUpToDate>
  <CharactersWithSpaces>24227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2022-04-21T16:48:00Z</dcterms:created>
  <dc:creator>王晓峰</dc:creator>
  <cp:lastModifiedBy>Administrator</cp:lastModifiedBy>
  <cp:lastPrinted>2022-08-11T02:24:00Z</cp:lastPrinted>
  <dcterms:modified xsi:type="dcterms:W3CDTF">2024-04-08T03:11:37Z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54D9C4EE8F17412D9E7521017B2AC2DE_13</vt:lpwstr>
  </property>
  <property fmtid="{D5CDD505-2E9C-101B-9397-08002B2CF9AE}" pid="4" name="commondata">
    <vt:lpwstr>eyJoZGlkIjoiMzMxNTQ1NmE1MDQ5MzdiZGY3MDE0OWFhNWVmNmFjZDYifQ==</vt:lpwstr>
  </property>
</Properties>
</file>