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olor w:val="auto"/>
          <w:sz w:val="32"/>
          <w:szCs w:val="40"/>
        </w:rPr>
        <w:id w:val="147481265"/>
        <w:docPartObj>
          <w:docPartGallery w:val="Table of Contents"/>
          <w:docPartUnique/>
        </w:docPartObj>
      </w:sdtPr>
      <w:sdtEndPr>
        <w:rPr>
          <w:rFonts w:hint="eastAsia" w:asciiTheme="minorHAnsi" w:hAnsiTheme="minorHAnsi" w:eastAsiaTheme="minorEastAsia"/>
          <w:b/>
          <w:color w:val="auto"/>
          <w:sz w:val="21"/>
          <w:szCs w:val="24"/>
        </w:rPr>
      </w:sdtEndPr>
      <w:sdtContent>
        <w:p>
          <w:pPr>
            <w:pageBreakBefore w:val="0"/>
            <w:widowControl w:val="0"/>
            <w:kinsoku/>
            <w:wordWrap/>
            <w:overflowPunct/>
            <w:topLinePunct w:val="0"/>
            <w:autoSpaceDE/>
            <w:autoSpaceDN/>
            <w:bidi w:val="0"/>
            <w:spacing w:line="360" w:lineRule="auto"/>
            <w:ind w:firstLine="640" w:firstLineChars="200"/>
            <w:jc w:val="center"/>
            <w:textAlignment w:val="auto"/>
            <w:rPr>
              <w:rFonts w:ascii="宋体" w:hAnsi="宋体" w:eastAsia="宋体"/>
              <w:color w:val="auto"/>
              <w:sz w:val="32"/>
              <w:szCs w:val="40"/>
            </w:rPr>
          </w:pPr>
        </w:p>
        <w:p>
          <w:pPr>
            <w:pageBreakBefore w:val="0"/>
            <w:widowControl w:val="0"/>
            <w:kinsoku/>
            <w:wordWrap/>
            <w:overflowPunct/>
            <w:topLinePunct w:val="0"/>
            <w:autoSpaceDE/>
            <w:autoSpaceDN/>
            <w:bidi w:val="0"/>
            <w:spacing w:line="360" w:lineRule="auto"/>
            <w:ind w:firstLine="640" w:firstLineChars="200"/>
            <w:jc w:val="center"/>
            <w:textAlignment w:val="auto"/>
            <w:rPr>
              <w:rFonts w:ascii="宋体" w:hAnsi="宋体" w:eastAsia="宋体"/>
              <w:color w:val="auto"/>
              <w:sz w:val="32"/>
              <w:szCs w:val="40"/>
            </w:rPr>
          </w:pPr>
        </w:p>
        <w:p>
          <w:pPr>
            <w:pageBreakBefore w:val="0"/>
            <w:widowControl w:val="0"/>
            <w:kinsoku/>
            <w:wordWrap/>
            <w:overflowPunct/>
            <w:topLinePunct w:val="0"/>
            <w:autoSpaceDE/>
            <w:autoSpaceDN/>
            <w:bidi w:val="0"/>
            <w:spacing w:line="360" w:lineRule="auto"/>
            <w:ind w:firstLine="640" w:firstLineChars="200"/>
            <w:jc w:val="center"/>
            <w:textAlignment w:val="auto"/>
            <w:rPr>
              <w:rFonts w:ascii="宋体" w:hAnsi="宋体" w:eastAsia="宋体"/>
              <w:color w:val="auto"/>
              <w:sz w:val="32"/>
              <w:szCs w:val="40"/>
            </w:rPr>
          </w:pPr>
        </w:p>
        <w:p>
          <w:pPr>
            <w:pageBreakBefore w:val="0"/>
            <w:widowControl w:val="0"/>
            <w:kinsoku/>
            <w:wordWrap/>
            <w:overflowPunct/>
            <w:topLinePunct w:val="0"/>
            <w:autoSpaceDE/>
            <w:autoSpaceDN/>
            <w:bidi w:val="0"/>
            <w:spacing w:line="360" w:lineRule="auto"/>
            <w:ind w:firstLine="640" w:firstLineChars="200"/>
            <w:jc w:val="center"/>
            <w:textAlignment w:val="auto"/>
            <w:rPr>
              <w:rFonts w:ascii="宋体" w:hAnsi="宋体" w:eastAsia="宋体"/>
              <w:color w:val="auto"/>
              <w:sz w:val="32"/>
              <w:szCs w:val="40"/>
            </w:rPr>
          </w:pPr>
        </w:p>
        <w:p>
          <w:pPr>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color w:val="auto"/>
              <w:sz w:val="48"/>
              <w:szCs w:val="48"/>
            </w:rPr>
          </w:pPr>
          <w:bookmarkStart w:id="248" w:name="_GoBack"/>
          <w:r>
            <w:rPr>
              <w:rFonts w:hint="eastAsia" w:ascii="仿宋" w:hAnsi="仿宋" w:eastAsia="仿宋" w:cs="仿宋"/>
              <w:b/>
              <w:color w:val="auto"/>
              <w:sz w:val="48"/>
              <w:szCs w:val="48"/>
            </w:rPr>
            <w:t>新城区森林草原</w:t>
          </w:r>
          <w:r>
            <w:rPr>
              <w:rFonts w:hint="eastAsia" w:ascii="仿宋" w:hAnsi="仿宋" w:eastAsia="仿宋" w:cs="仿宋"/>
              <w:b/>
              <w:color w:val="auto"/>
              <w:sz w:val="48"/>
              <w:szCs w:val="48"/>
              <w:lang w:val="en-US" w:eastAsia="zh-CN"/>
            </w:rPr>
            <w:t>火灾</w:t>
          </w:r>
          <w:r>
            <w:rPr>
              <w:rFonts w:hint="eastAsia" w:ascii="仿宋" w:hAnsi="仿宋" w:eastAsia="仿宋" w:cs="仿宋"/>
              <w:b/>
              <w:color w:val="auto"/>
              <w:sz w:val="48"/>
              <w:szCs w:val="48"/>
            </w:rPr>
            <w:t>应急预案</w:t>
          </w:r>
          <w:bookmarkEnd w:id="248"/>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ind w:firstLine="420" w:firstLineChars="200"/>
            <w:jc w:val="center"/>
            <w:textAlignment w:val="auto"/>
            <w:rPr>
              <w:rFonts w:ascii="黑体" w:eastAsia="黑体"/>
              <w:color w:val="auto"/>
              <w:szCs w:val="32"/>
            </w:rPr>
          </w:pPr>
        </w:p>
        <w:p>
          <w:pPr>
            <w:pageBreakBefore w:val="0"/>
            <w:widowControl w:val="0"/>
            <w:kinsoku/>
            <w:wordWrap/>
            <w:overflowPunct/>
            <w:topLinePunct w:val="0"/>
            <w:autoSpaceDE/>
            <w:autoSpaceDN/>
            <w:bidi w:val="0"/>
            <w:spacing w:line="360" w:lineRule="auto"/>
            <w:ind w:firstLine="720" w:firstLineChars="200"/>
            <w:jc w:val="center"/>
            <w:textAlignment w:val="auto"/>
            <w:rPr>
              <w:rFonts w:ascii="黑体" w:eastAsia="黑体"/>
              <w:color w:val="auto"/>
              <w:sz w:val="36"/>
              <w:szCs w:val="36"/>
            </w:rPr>
          </w:pPr>
        </w:p>
        <w:p>
          <w:pPr>
            <w:pStyle w:val="2"/>
            <w:pageBreakBefore w:val="0"/>
            <w:widowControl w:val="0"/>
            <w:kinsoku/>
            <w:wordWrap/>
            <w:overflowPunct/>
            <w:topLinePunct w:val="0"/>
            <w:autoSpaceDE/>
            <w:autoSpaceDN/>
            <w:bidi w:val="0"/>
            <w:spacing w:line="360" w:lineRule="auto"/>
            <w:textAlignment w:val="auto"/>
            <w:rPr>
              <w:color w:val="auto"/>
            </w:rPr>
          </w:pPr>
        </w:p>
        <w:p>
          <w:pPr>
            <w:pageBreakBefore w:val="0"/>
            <w:widowControl w:val="0"/>
            <w:kinsoku/>
            <w:wordWrap/>
            <w:overflowPunct/>
            <w:topLinePunct w:val="0"/>
            <w:autoSpaceDE/>
            <w:autoSpaceDN/>
            <w:bidi w:val="0"/>
            <w:spacing w:line="360" w:lineRule="auto"/>
            <w:ind w:firstLine="720" w:firstLineChars="200"/>
            <w:jc w:val="center"/>
            <w:textAlignment w:val="auto"/>
            <w:rPr>
              <w:rFonts w:ascii="黑体" w:eastAsia="黑体"/>
              <w:color w:val="auto"/>
              <w:sz w:val="36"/>
              <w:szCs w:val="36"/>
            </w:rPr>
          </w:pPr>
        </w:p>
        <w:p>
          <w:pPr>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新城区人民政府</w:t>
          </w:r>
        </w:p>
        <w:p>
          <w:pPr>
            <w:pStyle w:val="2"/>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color w:val="auto"/>
              <w:sz w:val="32"/>
              <w:szCs w:val="32"/>
              <w:lang w:val="en-US" w:eastAsia="zh-CN"/>
            </w:rPr>
          </w:pPr>
          <w:bookmarkStart w:id="0" w:name="_Toc14413"/>
          <w:bookmarkStart w:id="1" w:name="_Toc25330"/>
          <w:bookmarkStart w:id="2" w:name="_Toc1210"/>
          <w:bookmarkStart w:id="3" w:name="_Toc32650"/>
          <w:bookmarkStart w:id="4" w:name="_Toc21697"/>
          <w:bookmarkStart w:id="5" w:name="_Toc760"/>
          <w:bookmarkStart w:id="6" w:name="_Toc15385"/>
          <w:bookmarkStart w:id="7" w:name="_Toc716"/>
          <w:bookmarkStart w:id="8" w:name="_Toc30594"/>
          <w:r>
            <w:rPr>
              <w:rFonts w:hint="eastAsia" w:ascii="仿宋" w:hAnsi="仿宋" w:eastAsia="仿宋" w:cs="仿宋"/>
              <w:b/>
              <w:bCs/>
              <w:color w:val="auto"/>
              <w:sz w:val="32"/>
              <w:szCs w:val="32"/>
              <w:lang w:val="en-US" w:eastAsia="zh-CN"/>
            </w:rPr>
            <w:t>2022年8月</w:t>
          </w:r>
          <w:bookmarkEnd w:id="0"/>
          <w:bookmarkEnd w:id="1"/>
          <w:bookmarkEnd w:id="2"/>
          <w:bookmarkEnd w:id="3"/>
          <w:bookmarkEnd w:id="4"/>
          <w:bookmarkEnd w:id="5"/>
          <w:bookmarkEnd w:id="6"/>
          <w:bookmarkEnd w:id="7"/>
          <w:bookmarkEnd w:id="8"/>
        </w:p>
        <w:p>
          <w:pPr>
            <w:pStyle w:val="2"/>
            <w:pageBreakBefore w:val="0"/>
            <w:widowControl w:val="0"/>
            <w:kinsoku/>
            <w:wordWrap/>
            <w:overflowPunct/>
            <w:topLinePunct w:val="0"/>
            <w:autoSpaceDE/>
            <w:autoSpaceDN/>
            <w:bidi w:val="0"/>
            <w:spacing w:line="360" w:lineRule="auto"/>
            <w:ind w:firstLine="723" w:firstLineChars="200"/>
            <w:textAlignment w:val="auto"/>
            <w:rPr>
              <w:rFonts w:ascii="黑体" w:eastAsia="黑体"/>
              <w:color w:val="auto"/>
              <w:sz w:val="36"/>
              <w:szCs w:val="36"/>
            </w:rPr>
          </w:pPr>
        </w:p>
        <w:p>
          <w:pPr>
            <w:pageBreakBefore w:val="0"/>
            <w:widowControl w:val="0"/>
            <w:kinsoku/>
            <w:wordWrap/>
            <w:overflowPunct/>
            <w:topLinePunct w:val="0"/>
            <w:autoSpaceDE/>
            <w:autoSpaceDN/>
            <w:bidi w:val="0"/>
            <w:spacing w:line="360" w:lineRule="auto"/>
            <w:ind w:firstLine="720" w:firstLineChars="200"/>
            <w:textAlignment w:val="auto"/>
            <w:rPr>
              <w:rFonts w:ascii="黑体" w:eastAsia="黑体"/>
              <w:color w:val="auto"/>
              <w:sz w:val="36"/>
              <w:szCs w:val="36"/>
            </w:rPr>
          </w:pPr>
        </w:p>
        <w:p>
          <w:pPr>
            <w:pageBreakBefore w:val="0"/>
            <w:widowControl w:val="0"/>
            <w:kinsoku/>
            <w:wordWrap/>
            <w:overflowPunct/>
            <w:topLinePunct w:val="0"/>
            <w:autoSpaceDE/>
            <w:autoSpaceDN/>
            <w:bidi w:val="0"/>
            <w:spacing w:line="360" w:lineRule="auto"/>
            <w:ind w:firstLine="420" w:firstLineChars="200"/>
            <w:textAlignment w:val="auto"/>
            <w:rPr>
              <w:color w:val="auto"/>
            </w:rPr>
          </w:pPr>
          <w:r>
            <w:rPr>
              <w:color w:val="auto"/>
            </w:rPr>
            <w:br w:type="page"/>
          </w:r>
        </w:p>
        <w:p>
          <w:pPr>
            <w:pageBreakBefore w:val="0"/>
            <w:widowControl w:val="0"/>
            <w:tabs>
              <w:tab w:val="right" w:leader="dot" w:pos="8306"/>
            </w:tabs>
            <w:kinsoku/>
            <w:wordWrap/>
            <w:overflowPunct/>
            <w:topLinePunct w:val="0"/>
            <w:autoSpaceDE/>
            <w:autoSpaceDN/>
            <w:bidi w:val="0"/>
            <w:spacing w:line="360" w:lineRule="auto"/>
            <w:ind w:firstLine="640" w:firstLineChars="200"/>
            <w:jc w:val="center"/>
            <w:textAlignment w:val="auto"/>
            <w:rPr>
              <w:rFonts w:hint="eastAsia" w:asciiTheme="minorHAnsi" w:hAnsiTheme="minorHAnsi" w:eastAsiaTheme="minorEastAsia" w:cstheme="minorBidi"/>
              <w:color w:val="auto"/>
              <w:kern w:val="2"/>
              <w:sz w:val="21"/>
              <w:szCs w:val="24"/>
              <w:lang w:val="en-US" w:eastAsia="zh-CN" w:bidi="ar-SA"/>
            </w:rPr>
          </w:pPr>
          <w:r>
            <w:rPr>
              <w:rFonts w:ascii="宋体" w:hAnsi="宋体" w:eastAsia="宋体"/>
              <w:color w:val="auto"/>
              <w:sz w:val="32"/>
              <w:szCs w:val="40"/>
            </w:rPr>
            <w:t>目</w:t>
          </w:r>
          <w:r>
            <w:rPr>
              <w:rFonts w:hint="eastAsia" w:ascii="宋体" w:hAnsi="宋体" w:eastAsia="宋体"/>
              <w:color w:val="auto"/>
              <w:sz w:val="32"/>
              <w:szCs w:val="40"/>
            </w:rPr>
            <w:t xml:space="preserve">     </w:t>
          </w:r>
          <w:r>
            <w:rPr>
              <w:rFonts w:ascii="宋体" w:hAnsi="宋体" w:eastAsia="宋体"/>
              <w:color w:val="auto"/>
              <w:sz w:val="32"/>
              <w:szCs w:val="40"/>
            </w:rPr>
            <w:t>录</w:t>
          </w:r>
          <w:r>
            <w:rPr>
              <w:rFonts w:hint="eastAsia"/>
              <w:color w:val="auto"/>
            </w:rPr>
            <w:fldChar w:fldCharType="begin"/>
          </w:r>
          <w:r>
            <w:rPr>
              <w:rFonts w:hint="eastAsia"/>
              <w:color w:val="auto"/>
            </w:rPr>
            <w:instrText xml:space="preserve">TOC \o "1-2" \h \u </w:instrText>
          </w:r>
          <w:r>
            <w:rPr>
              <w:rFonts w:hint="eastAsia"/>
              <w:color w:val="auto"/>
            </w:rPr>
            <w:fldChar w:fldCharType="separate"/>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_Toc25336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1 总则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_Toc25336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_Toc28582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1.1 编制目的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_Toc28582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_Toc21927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1.2 编制依据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_Toc21927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_Toc11447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1.3 适用范围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_Toc11447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_Toc17597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1.4 指导思想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_Toc17597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_Toc15290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1.5 工作原则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_Toc15290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_Toc5511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2 主要任务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_Toc5511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_Toc6145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2.1 组织灭火行动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_Toc6145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_Toc15460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2.2 解救疏散人员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_Toc15460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_Toc31099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2.3 保护重要目标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_Toc31099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_Toc31331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2.4 转移重要物资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_Toc31331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_Toc27221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rPr>
            <w:t>2.5 维护社会稳定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_Toc27221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_Toc12531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3</w:t>
          </w:r>
          <w:r>
            <w:rPr>
              <w:rFonts w:hint="eastAsia" w:ascii="仿宋" w:hAnsi="仿宋" w:eastAsia="仿宋" w:cs="仿宋"/>
              <w:bCs/>
              <w:kern w:val="44"/>
              <w:sz w:val="28"/>
              <w:szCs w:val="28"/>
            </w:rPr>
            <w:t xml:space="preserve"> 组织指挥体系与职责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_Toc12531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_Toc3688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3</w:t>
          </w:r>
          <w:r>
            <w:rPr>
              <w:rFonts w:hint="eastAsia" w:ascii="仿宋" w:hAnsi="仿宋" w:eastAsia="仿宋" w:cs="仿宋"/>
              <w:bCs/>
              <w:kern w:val="44"/>
              <w:sz w:val="28"/>
              <w:szCs w:val="28"/>
            </w:rPr>
            <w:t>.1 森林草原防灭火指挥机构</w:t>
          </w:r>
          <w:r>
            <w:rPr>
              <w:rFonts w:hint="eastAsia" w:ascii="仿宋" w:hAnsi="仿宋" w:eastAsia="仿宋" w:cs="仿宋"/>
              <w:bCs/>
              <w:kern w:val="44"/>
              <w:sz w:val="28"/>
              <w:szCs w:val="28"/>
              <w:lang w:val="en-US" w:eastAsia="zh-CN"/>
            </w:rPr>
            <w:t>及其成员单位</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_Toc3688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_Toc17418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3.2 扑火指挥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_Toc17418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_Toc21331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highlight w:val="none"/>
              <w:lang w:val="en-US" w:eastAsia="zh-CN"/>
            </w:rPr>
            <w:t>3.3 应急处置工作组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_Toc21331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_Toc1631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3.4 专家组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_Toc1631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_Toc13876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4 处置力量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_Toc13876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_Toc18615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4.1 力量编成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_Toc18615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_Toc29788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highlight w:val="none"/>
              <w:lang w:val="en-US" w:eastAsia="zh-CN"/>
            </w:rPr>
            <w:t>4.2 力量调动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_Toc29788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_Toc11344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5 预警和信息报告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_Toc11344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_Toc26230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5.1 预警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_Toc26230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_Toc6640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5.2 预警预报与信息报告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_Toc6640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_Toc493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6 应急响应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_Toc493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_Toc2597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6.1 分级响应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_Toc2597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_Toc6818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6.2 响应措施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_Toc6818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_Toc28847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7 区级层面应对工作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_Toc28847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_Toc3884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7.1 Ⅲ级响应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_Toc3884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_Toc27704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7.2 Ⅱ级响应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_Toc27704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_Toc7224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7.3 Ⅰ级响应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_Toc7224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_Toc9408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7.4 启动条件调整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_Toc9408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_Toc14273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7.5 响应终止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_Toc14273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_Toc22115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8 后期处置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_Toc22115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_Toc6971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8.1 火灾评估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_Toc6971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_Toc13162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8.2 工作总结</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_Toc13162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_Toc7143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8.3 奖励与责任追究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_Toc7143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_Toc24515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 综合保障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_Toc24515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_Toc10981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9.1 队伍保障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_Toc10981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_Toc6481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9.2 运输保障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_Toc6481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_Toc25283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9.3 航空消防飞机保障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_Toc25283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_Toc31675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9.4 通信与信息保障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_Toc31675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_Toc30361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9.5 物资保障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_Toc30361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_Toc923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9.6 资金保障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_Toc923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_Toc14068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10 附则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_Toc14068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_Toc21564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10.1 预案培训与演练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_Toc21564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_Toc17177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10.2 预案解释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_Toc17177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_Toc7250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10.3 预案实施时间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_Toc7250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_Toc29035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11 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_Toc29035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_Toc6468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附件1 新城区专业和半专业扑火队火险预警响应状态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_Toc6468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_Toc4089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附件2 新城区森林草原防灭火指挥部通讯录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_Toc4089 \h </w:instrText>
          </w:r>
          <w:r>
            <w:rPr>
              <w:rFonts w:hint="eastAsia" w:ascii="仿宋" w:hAnsi="仿宋" w:eastAsia="仿宋" w:cs="仿宋"/>
              <w:sz w:val="28"/>
              <w:szCs w:val="28"/>
            </w:rPr>
            <w:fldChar w:fldCharType="separate"/>
          </w:r>
          <w:r>
            <w:rPr>
              <w:rFonts w:hint="eastAsia" w:ascii="仿宋" w:hAnsi="仿宋" w:eastAsia="仿宋" w:cs="仿宋"/>
              <w:sz w:val="28"/>
              <w:szCs w:val="28"/>
            </w:rPr>
            <w:t>36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_Toc30217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附件3 新城区森林草原火灾等级和划分标准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_Toc30217 \h </w:instrText>
          </w:r>
          <w:r>
            <w:rPr>
              <w:rFonts w:hint="eastAsia" w:ascii="仿宋" w:hAnsi="仿宋" w:eastAsia="仿宋" w:cs="仿宋"/>
              <w:sz w:val="28"/>
              <w:szCs w:val="28"/>
            </w:rPr>
            <w:fldChar w:fldCharType="separate"/>
          </w:r>
          <w:r>
            <w:rPr>
              <w:rFonts w:hint="eastAsia" w:ascii="仿宋" w:hAnsi="仿宋" w:eastAsia="仿宋" w:cs="仿宋"/>
              <w:sz w:val="28"/>
              <w:szCs w:val="28"/>
            </w:rPr>
            <w:t>38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_Toc26237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附件4 新城区森林草原火险预警级别及信号颜色</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_Toc26237 \h </w:instrText>
          </w:r>
          <w:r>
            <w:rPr>
              <w:rFonts w:hint="eastAsia" w:ascii="仿宋" w:hAnsi="仿宋" w:eastAsia="仿宋" w:cs="仿宋"/>
              <w:sz w:val="28"/>
              <w:szCs w:val="28"/>
            </w:rPr>
            <w:fldChar w:fldCharType="separate"/>
          </w:r>
          <w:r>
            <w:rPr>
              <w:rFonts w:hint="eastAsia" w:ascii="仿宋" w:hAnsi="仿宋" w:eastAsia="仿宋" w:cs="仿宋"/>
              <w:sz w:val="28"/>
              <w:szCs w:val="28"/>
            </w:rPr>
            <w:t>40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_Toc27045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附件5 新城区森林草原专业和半专业队伍基本情况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_Toc27045 \h </w:instrText>
          </w:r>
          <w:r>
            <w:rPr>
              <w:rFonts w:hint="eastAsia" w:ascii="仿宋" w:hAnsi="仿宋" w:eastAsia="仿宋" w:cs="仿宋"/>
              <w:sz w:val="28"/>
              <w:szCs w:val="28"/>
            </w:rPr>
            <w:fldChar w:fldCharType="separate"/>
          </w:r>
          <w:r>
            <w:rPr>
              <w:rFonts w:hint="eastAsia" w:ascii="仿宋" w:hAnsi="仿宋" w:eastAsia="仿宋" w:cs="仿宋"/>
              <w:sz w:val="28"/>
              <w:szCs w:val="28"/>
            </w:rPr>
            <w:t>41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_Toc22973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附件6 新城区森林草原防扑火队伍应急装备清单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_Toc22973 \h </w:instrText>
          </w:r>
          <w:r>
            <w:rPr>
              <w:rFonts w:hint="eastAsia" w:ascii="仿宋" w:hAnsi="仿宋" w:eastAsia="仿宋" w:cs="仿宋"/>
              <w:sz w:val="28"/>
              <w:szCs w:val="28"/>
            </w:rPr>
            <w:fldChar w:fldCharType="separate"/>
          </w:r>
          <w:r>
            <w:rPr>
              <w:rFonts w:hint="eastAsia" w:ascii="仿宋" w:hAnsi="仿宋" w:eastAsia="仿宋" w:cs="仿宋"/>
              <w:sz w:val="28"/>
              <w:szCs w:val="28"/>
            </w:rPr>
            <w:t>42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_Toc528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附件7 新城区应急避险场所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_Toc528 \h </w:instrText>
          </w:r>
          <w:r>
            <w:rPr>
              <w:rFonts w:hint="eastAsia" w:ascii="仿宋" w:hAnsi="仿宋" w:eastAsia="仿宋" w:cs="仿宋"/>
              <w:sz w:val="28"/>
              <w:szCs w:val="28"/>
            </w:rPr>
            <w:fldChar w:fldCharType="separate"/>
          </w:r>
          <w:r>
            <w:rPr>
              <w:rFonts w:hint="eastAsia" w:ascii="仿宋" w:hAnsi="仿宋" w:eastAsia="仿宋" w:cs="仿宋"/>
              <w:sz w:val="28"/>
              <w:szCs w:val="28"/>
            </w:rPr>
            <w:t>50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_Toc22769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附件8 新城区主要救治医院信息表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_Toc22769 \h </w:instrText>
          </w:r>
          <w:r>
            <w:rPr>
              <w:rFonts w:hint="eastAsia" w:ascii="仿宋" w:hAnsi="仿宋" w:eastAsia="仿宋" w:cs="仿宋"/>
              <w:sz w:val="28"/>
              <w:szCs w:val="28"/>
            </w:rPr>
            <w:fldChar w:fldCharType="separate"/>
          </w:r>
          <w:r>
            <w:rPr>
              <w:rFonts w:hint="eastAsia" w:ascii="仿宋" w:hAnsi="仿宋" w:eastAsia="仿宋" w:cs="仿宋"/>
              <w:sz w:val="28"/>
              <w:szCs w:val="28"/>
            </w:rPr>
            <w:t>53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_Toc22321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附件9 重要目标和重大危险源保护力量的组成及调动方案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_Toc22321 \h </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_Toc15480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附件10 森林草原防灭火气象服务和人工增雨作业方案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_Toc15480 \h </w:instrText>
          </w:r>
          <w:r>
            <w:rPr>
              <w:rFonts w:hint="eastAsia" w:ascii="仿宋" w:hAnsi="仿宋" w:eastAsia="仿宋" w:cs="仿宋"/>
              <w:sz w:val="28"/>
              <w:szCs w:val="28"/>
            </w:rPr>
            <w:fldChar w:fldCharType="separate"/>
          </w:r>
          <w:r>
            <w:rPr>
              <w:rFonts w:hint="eastAsia" w:ascii="仿宋" w:hAnsi="仿宋" w:eastAsia="仿宋" w:cs="仿宋"/>
              <w:sz w:val="28"/>
              <w:szCs w:val="28"/>
            </w:rPr>
            <w:t>56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_Toc29305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附件11 新城区森林草原防火区域图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_Toc29305 \h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1"/>
            <w:tabs>
              <w:tab w:val="right" w:leader="dot" w:pos="8306"/>
            </w:tabs>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_Toc19749 </w:instrText>
          </w:r>
          <w:r>
            <w:rPr>
              <w:rFonts w:hint="eastAsia" w:ascii="仿宋" w:hAnsi="仿宋" w:eastAsia="仿宋" w:cs="仿宋"/>
              <w:sz w:val="28"/>
              <w:szCs w:val="28"/>
            </w:rPr>
            <w:fldChar w:fldCharType="separate"/>
          </w:r>
          <w:r>
            <w:rPr>
              <w:rFonts w:hint="eastAsia" w:ascii="仿宋" w:hAnsi="仿宋" w:eastAsia="仿宋" w:cs="仿宋"/>
              <w:bCs/>
              <w:kern w:val="44"/>
              <w:sz w:val="28"/>
              <w:szCs w:val="28"/>
              <w:lang w:val="en-US" w:eastAsia="zh-CN"/>
            </w:rPr>
            <w:t>附件12 预案专家评审意见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_Toc19749 \h </w:instrText>
          </w:r>
          <w:r>
            <w:rPr>
              <w:rFonts w:hint="eastAsia" w:ascii="仿宋" w:hAnsi="仿宋" w:eastAsia="仿宋" w:cs="仿宋"/>
              <w:sz w:val="28"/>
              <w:szCs w:val="28"/>
            </w:rPr>
            <w:fldChar w:fldCharType="separate"/>
          </w:r>
          <w:r>
            <w:rPr>
              <w:rFonts w:hint="eastAsia" w:ascii="仿宋" w:hAnsi="仿宋" w:eastAsia="仿宋" w:cs="仿宋"/>
              <w:sz w:val="28"/>
              <w:szCs w:val="28"/>
            </w:rPr>
            <w:t>58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0"/>
            <w:pageBreakBefore w:val="0"/>
            <w:widowControl w:val="0"/>
            <w:tabs>
              <w:tab w:val="right" w:leader="dot" w:pos="8306"/>
            </w:tabs>
            <w:kinsoku/>
            <w:wordWrap/>
            <w:overflowPunct/>
            <w:topLinePunct w:val="0"/>
            <w:autoSpaceDE/>
            <w:autoSpaceDN/>
            <w:bidi w:val="0"/>
            <w:spacing w:line="360" w:lineRule="auto"/>
            <w:ind w:firstLine="420" w:firstLineChars="200"/>
            <w:jc w:val="center"/>
            <w:textAlignment w:val="auto"/>
            <w:rPr>
              <w:color w:val="auto"/>
            </w:rPr>
            <w:sectPr>
              <w:footerReference r:id="rId3" w:type="firs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color w:val="auto"/>
            </w:rPr>
            <w:fldChar w:fldCharType="end"/>
          </w:r>
        </w:p>
      </w:sdtContent>
    </w:sdt>
    <w:p>
      <w:pPr>
        <w:pStyle w:val="3"/>
        <w:keepNext/>
        <w:keepLines/>
        <w:pageBreakBefore w:val="0"/>
        <w:widowControl w:val="0"/>
        <w:kinsoku/>
        <w:wordWrap/>
        <w:overflowPunct/>
        <w:topLinePunct w:val="0"/>
        <w:autoSpaceDE/>
        <w:autoSpaceDN/>
        <w:bidi w:val="0"/>
        <w:adjustRightInd w:val="0"/>
        <w:snapToGrid w:val="0"/>
        <w:spacing w:before="20" w:after="10" w:line="360" w:lineRule="auto"/>
        <w:ind w:firstLine="640" w:firstLineChars="200"/>
        <w:textAlignment w:val="auto"/>
        <w:outlineLvl w:val="0"/>
        <w:rPr>
          <w:rFonts w:hint="default" w:eastAsia="黑体"/>
          <w:color w:val="auto"/>
          <w:lang w:val="en-US" w:eastAsia="zh-CN"/>
        </w:rPr>
      </w:pPr>
      <w:bookmarkStart w:id="9" w:name="_Toc25336"/>
      <w:r>
        <w:rPr>
          <w:rFonts w:hint="eastAsia"/>
          <w:color w:val="auto"/>
          <w:lang w:val="en-US" w:eastAsia="zh-CN"/>
        </w:rPr>
        <w:t>1 总则</w:t>
      </w:r>
      <w:bookmarkEnd w:id="9"/>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ascii="黑体" w:eastAsia="黑体"/>
          <w:bCs/>
          <w:color w:val="auto"/>
          <w:kern w:val="44"/>
          <w:sz w:val="32"/>
          <w:szCs w:val="44"/>
        </w:rPr>
      </w:pPr>
      <w:bookmarkStart w:id="10" w:name="_Toc24011"/>
      <w:bookmarkStart w:id="11" w:name="_Toc18715"/>
      <w:bookmarkStart w:id="12" w:name="_Toc28582"/>
      <w:r>
        <w:rPr>
          <w:rFonts w:hint="eastAsia" w:ascii="黑体" w:eastAsia="黑体"/>
          <w:bCs/>
          <w:color w:val="auto"/>
          <w:kern w:val="44"/>
          <w:sz w:val="32"/>
          <w:szCs w:val="44"/>
        </w:rPr>
        <w:t>1.1 编制目的</w:t>
      </w:r>
      <w:bookmarkEnd w:id="10"/>
      <w:bookmarkEnd w:id="11"/>
      <w:bookmarkEnd w:id="12"/>
    </w:p>
    <w:p>
      <w:pPr>
        <w:pageBreakBefore w:val="0"/>
        <w:widowControl w:val="0"/>
        <w:kinsoku/>
        <w:wordWrap/>
        <w:overflowPunct/>
        <w:topLinePunct w:val="0"/>
        <w:autoSpaceDE/>
        <w:autoSpaceDN/>
        <w:bidi w:val="0"/>
        <w:spacing w:line="360" w:lineRule="auto"/>
        <w:ind w:firstLine="640" w:firstLineChars="200"/>
        <w:jc w:val="left"/>
        <w:textAlignment w:val="auto"/>
        <w:rPr>
          <w:rFonts w:eastAsia="仿宋_GB2312"/>
          <w:color w:val="auto"/>
          <w:sz w:val="32"/>
          <w:szCs w:val="22"/>
        </w:rPr>
      </w:pPr>
      <w:r>
        <w:rPr>
          <w:rFonts w:hint="eastAsia" w:eastAsia="仿宋_GB2312"/>
          <w:color w:val="auto"/>
          <w:sz w:val="32"/>
          <w:szCs w:val="22"/>
        </w:rPr>
        <w:t>为建立健全森林草原火灾处置应急工作机制，依法有力有序有效地实施森林草原火灾处置，最大程度减少森林草原火灾及其造成的人员伤亡和财产损失，保护森林草原资源，维护生态安全，结合我区实际，特制定本预案。</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13" w:name="_Toc23052"/>
      <w:bookmarkStart w:id="14" w:name="_Toc21927"/>
      <w:bookmarkStart w:id="15" w:name="_Toc21290"/>
      <w:r>
        <w:rPr>
          <w:rFonts w:hint="eastAsia" w:ascii="黑体" w:eastAsia="黑体"/>
          <w:bCs/>
          <w:color w:val="auto"/>
          <w:kern w:val="44"/>
          <w:sz w:val="32"/>
          <w:szCs w:val="44"/>
        </w:rPr>
        <w:t>1.2 编制依据</w:t>
      </w:r>
      <w:bookmarkEnd w:id="13"/>
      <w:bookmarkEnd w:id="14"/>
      <w:bookmarkEnd w:id="15"/>
    </w:p>
    <w:p>
      <w:pPr>
        <w:pageBreakBefore w:val="0"/>
        <w:widowControl w:val="0"/>
        <w:kinsoku/>
        <w:wordWrap/>
        <w:overflowPunct/>
        <w:topLinePunct w:val="0"/>
        <w:autoSpaceDE/>
        <w:autoSpaceDN/>
        <w:bidi w:val="0"/>
        <w:spacing w:line="360" w:lineRule="auto"/>
        <w:ind w:firstLine="640" w:firstLineChars="200"/>
        <w:jc w:val="left"/>
        <w:textAlignment w:val="auto"/>
        <w:rPr>
          <w:rFonts w:hint="eastAsia" w:eastAsia="仿宋_GB2312"/>
          <w:color w:val="auto"/>
          <w:sz w:val="32"/>
          <w:szCs w:val="22"/>
          <w:lang w:eastAsia="zh-CN"/>
        </w:rPr>
      </w:pPr>
      <w:r>
        <w:rPr>
          <w:rFonts w:hint="eastAsia" w:eastAsia="仿宋_GB2312"/>
          <w:color w:val="auto"/>
          <w:sz w:val="32"/>
          <w:szCs w:val="22"/>
        </w:rPr>
        <w:t>根据《中华人民共和国森林法》《中华人民共和国草原法》《中华人民共和国突发事件应对法》《森林防火条例》《草原防火条例》《国家突发公共事件总体应急预案》《国家森林火灾应急预案》《全国草原火灾应急预案》《内蒙古自治区森林草原防火条例》《内蒙古自治区突发公共事件总体应急预案》《内蒙古自治区森林草原防灭火指挥部森林草原火灾处置应急预案</w:t>
      </w:r>
      <w:r>
        <w:rPr>
          <w:rFonts w:hint="eastAsia" w:eastAsia="仿宋_GB2312"/>
          <w:color w:val="auto"/>
          <w:sz w:val="32"/>
          <w:szCs w:val="22"/>
          <w:lang w:eastAsia="zh-CN"/>
        </w:rPr>
        <w:t>（</w:t>
      </w:r>
      <w:r>
        <w:rPr>
          <w:rFonts w:hint="eastAsia" w:eastAsia="仿宋_GB2312"/>
          <w:color w:val="auto"/>
          <w:sz w:val="32"/>
          <w:szCs w:val="22"/>
        </w:rPr>
        <w:t>暂行</w:t>
      </w:r>
      <w:r>
        <w:rPr>
          <w:rFonts w:hint="eastAsia" w:eastAsia="仿宋_GB2312"/>
          <w:color w:val="auto"/>
          <w:sz w:val="32"/>
          <w:szCs w:val="22"/>
          <w:lang w:eastAsia="zh-CN"/>
        </w:rPr>
        <w:t>）</w:t>
      </w:r>
      <w:r>
        <w:rPr>
          <w:rFonts w:hint="eastAsia" w:eastAsia="仿宋_GB2312"/>
          <w:color w:val="auto"/>
          <w:sz w:val="32"/>
          <w:szCs w:val="22"/>
        </w:rPr>
        <w:t>》《呼和浩特市森林草原防灭火指挥部火灾处置应急预案</w:t>
      </w:r>
      <w:r>
        <w:rPr>
          <w:rFonts w:hint="eastAsia" w:eastAsia="仿宋_GB2312"/>
          <w:color w:val="auto"/>
          <w:sz w:val="32"/>
          <w:szCs w:val="22"/>
          <w:lang w:eastAsia="zh-CN"/>
        </w:rPr>
        <w:t>（</w:t>
      </w:r>
      <w:r>
        <w:rPr>
          <w:rFonts w:hint="eastAsia" w:eastAsia="仿宋_GB2312"/>
          <w:color w:val="auto"/>
          <w:sz w:val="32"/>
          <w:szCs w:val="22"/>
        </w:rPr>
        <w:t>暂行</w:t>
      </w:r>
      <w:r>
        <w:rPr>
          <w:rFonts w:hint="eastAsia" w:eastAsia="仿宋_GB2312"/>
          <w:color w:val="auto"/>
          <w:sz w:val="32"/>
          <w:szCs w:val="22"/>
          <w:lang w:eastAsia="zh-CN"/>
        </w:rPr>
        <w:t>）</w:t>
      </w:r>
      <w:r>
        <w:rPr>
          <w:rFonts w:hint="eastAsia" w:eastAsia="仿宋_GB2312"/>
          <w:color w:val="auto"/>
          <w:sz w:val="32"/>
          <w:szCs w:val="22"/>
        </w:rPr>
        <w:t>》</w:t>
      </w:r>
      <w:r>
        <w:rPr>
          <w:rFonts w:hint="eastAsia" w:ascii="仿宋_GB2312" w:hAnsi="仿宋_GB2312" w:eastAsia="仿宋_GB2312" w:cs="仿宋_GB2312"/>
          <w:bCs/>
          <w:color w:val="auto"/>
          <w:sz w:val="32"/>
          <w:szCs w:val="32"/>
        </w:rPr>
        <w:t>《新城区突发事件总体应急预案》</w:t>
      </w:r>
      <w:r>
        <w:rPr>
          <w:rFonts w:hint="eastAsia" w:eastAsia="仿宋_GB2312"/>
          <w:color w:val="auto"/>
          <w:sz w:val="32"/>
          <w:szCs w:val="22"/>
        </w:rPr>
        <w:t>及有关法律法规、文件进行编制</w:t>
      </w:r>
      <w:r>
        <w:rPr>
          <w:rFonts w:hint="eastAsia" w:eastAsia="仿宋_GB2312"/>
          <w:color w:val="auto"/>
          <w:sz w:val="32"/>
          <w:szCs w:val="22"/>
          <w:lang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16" w:name="_Toc11447"/>
      <w:bookmarkStart w:id="17" w:name="_Toc14006"/>
      <w:bookmarkStart w:id="18" w:name="_Toc10669"/>
      <w:r>
        <w:rPr>
          <w:rFonts w:hint="eastAsia" w:ascii="黑体" w:eastAsia="黑体"/>
          <w:bCs/>
          <w:color w:val="auto"/>
          <w:kern w:val="44"/>
          <w:sz w:val="32"/>
          <w:szCs w:val="44"/>
        </w:rPr>
        <w:t>1.3 适用范围</w:t>
      </w:r>
      <w:bookmarkEnd w:id="16"/>
      <w:bookmarkEnd w:id="17"/>
      <w:bookmarkEnd w:id="18"/>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eastAsia="仿宋_GB2312" w:cstheme="minorBidi"/>
          <w:color w:val="auto"/>
          <w:kern w:val="2"/>
          <w:sz w:val="32"/>
          <w:szCs w:val="22"/>
        </w:rPr>
      </w:pPr>
      <w:r>
        <w:rPr>
          <w:rFonts w:hint="eastAsia" w:eastAsia="仿宋_GB2312" w:cstheme="minorBidi"/>
          <w:color w:val="auto"/>
          <w:kern w:val="2"/>
          <w:sz w:val="32"/>
          <w:szCs w:val="22"/>
        </w:rPr>
        <w:t>本预案适用于处置</w:t>
      </w:r>
      <w:r>
        <w:rPr>
          <w:rFonts w:hint="eastAsia" w:eastAsia="仿宋_GB2312" w:cstheme="minorBidi"/>
          <w:color w:val="auto"/>
          <w:kern w:val="2"/>
          <w:sz w:val="32"/>
          <w:szCs w:val="22"/>
          <w:lang w:val="en-US" w:eastAsia="zh-CN"/>
        </w:rPr>
        <w:t>发生在新城区行政管辖内的森林草原火灾，</w:t>
      </w:r>
      <w:r>
        <w:rPr>
          <w:rFonts w:hint="eastAsia" w:eastAsia="仿宋_GB2312" w:cstheme="minorBidi"/>
          <w:color w:val="auto"/>
          <w:kern w:val="2"/>
          <w:sz w:val="32"/>
          <w:szCs w:val="22"/>
        </w:rPr>
        <w:t>以及威胁本区的行政边界外发生的森林草原火灾。</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19" w:name="_Toc4109"/>
      <w:bookmarkStart w:id="20" w:name="_Toc17597"/>
      <w:bookmarkStart w:id="21" w:name="_Toc14883"/>
      <w:r>
        <w:rPr>
          <w:rFonts w:hint="eastAsia" w:ascii="黑体" w:eastAsia="黑体"/>
          <w:bCs/>
          <w:color w:val="auto"/>
          <w:kern w:val="44"/>
          <w:sz w:val="32"/>
          <w:szCs w:val="44"/>
        </w:rPr>
        <w:t>1.4 指导思想</w:t>
      </w:r>
      <w:bookmarkEnd w:id="19"/>
      <w:bookmarkEnd w:id="20"/>
      <w:bookmarkEnd w:id="21"/>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eastAsia="仿宋_GB2312" w:cstheme="minorBidi"/>
          <w:color w:val="auto"/>
          <w:kern w:val="2"/>
          <w:sz w:val="32"/>
          <w:szCs w:val="22"/>
        </w:rPr>
      </w:pPr>
      <w:r>
        <w:rPr>
          <w:rFonts w:hint="eastAsia" w:eastAsia="仿宋_GB2312" w:cstheme="minorBidi"/>
          <w:color w:val="auto"/>
          <w:kern w:val="2"/>
          <w:sz w:val="32"/>
          <w:szCs w:val="22"/>
        </w:rPr>
        <w:t>以习近平新时代中国特色社会主义思想为指导，深入贯彻落实党的十九大精神和习近平总书记关于生态文明建设的重大战略思想和重要指示精神，按照区</w:t>
      </w:r>
      <w:r>
        <w:rPr>
          <w:rFonts w:hint="eastAsia" w:eastAsia="仿宋_GB2312" w:cstheme="minorBidi"/>
          <w:color w:val="auto"/>
          <w:kern w:val="2"/>
          <w:sz w:val="32"/>
          <w:szCs w:val="22"/>
          <w:lang w:val="en-US" w:eastAsia="zh-CN"/>
        </w:rPr>
        <w:t>委</w:t>
      </w:r>
      <w:r>
        <w:rPr>
          <w:rFonts w:hint="eastAsia" w:eastAsia="仿宋_GB2312" w:cstheme="minorBidi"/>
          <w:color w:val="auto"/>
          <w:kern w:val="2"/>
          <w:sz w:val="32"/>
          <w:szCs w:val="22"/>
        </w:rPr>
        <w:t>、</w:t>
      </w:r>
      <w:r>
        <w:rPr>
          <w:rFonts w:hint="eastAsia" w:eastAsia="仿宋_GB2312" w:cstheme="minorBidi"/>
          <w:color w:val="auto"/>
          <w:kern w:val="2"/>
          <w:sz w:val="32"/>
          <w:szCs w:val="22"/>
          <w:lang w:val="en-US" w:eastAsia="zh-CN"/>
        </w:rPr>
        <w:t>区</w:t>
      </w:r>
      <w:r>
        <w:rPr>
          <w:rFonts w:hint="eastAsia" w:eastAsia="仿宋_GB2312" w:cstheme="minorBidi"/>
          <w:color w:val="auto"/>
          <w:kern w:val="2"/>
          <w:sz w:val="32"/>
          <w:szCs w:val="22"/>
        </w:rPr>
        <w:t>政府的安排部署，坚持“预防为主、防灭结合”的森林草原防灭火方针，加强防范化解重大火灾风险，全面落实预防措施，充分做好扑火各项准备，一旦发生火灾，各相关部门密切配合，通力合作，做到反应迅速、组织有序、以人为本、科学扑救，确保“打早、打小、打了”，杜绝人员伤亡事故发生，最大限度地减少火灾损失。</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22" w:name="_Toc19269"/>
      <w:bookmarkStart w:id="23" w:name="_Toc13985"/>
      <w:bookmarkStart w:id="24" w:name="_Toc15290"/>
      <w:r>
        <w:rPr>
          <w:rFonts w:hint="eastAsia" w:ascii="黑体" w:eastAsia="黑体"/>
          <w:bCs/>
          <w:color w:val="auto"/>
          <w:kern w:val="44"/>
          <w:sz w:val="32"/>
          <w:szCs w:val="44"/>
        </w:rPr>
        <w:t>1.5 工作原则</w:t>
      </w:r>
      <w:bookmarkEnd w:id="22"/>
      <w:bookmarkEnd w:id="23"/>
      <w:bookmarkEnd w:id="24"/>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eastAsia="仿宋_GB2312" w:cstheme="minorBidi"/>
          <w:color w:val="auto"/>
          <w:kern w:val="2"/>
          <w:sz w:val="32"/>
          <w:szCs w:val="22"/>
        </w:rPr>
      </w:pPr>
      <w:r>
        <w:rPr>
          <w:rFonts w:hint="eastAsia" w:eastAsia="仿宋_GB2312" w:cstheme="minorBidi"/>
          <w:color w:val="auto"/>
          <w:kern w:val="2"/>
          <w:sz w:val="32"/>
          <w:szCs w:val="22"/>
        </w:rPr>
        <w:t>在区委、区政府的领导下，区森林草原防灭火指挥部负责编制和协调组织实施本预案。区级应急预案重点规范本级层面应对行动，同时体现应急处置的主体功能；</w:t>
      </w:r>
      <w:r>
        <w:rPr>
          <w:rFonts w:hint="eastAsia" w:eastAsia="仿宋_GB2312" w:cstheme="minorBidi"/>
          <w:color w:val="auto"/>
          <w:kern w:val="2"/>
          <w:sz w:val="32"/>
          <w:szCs w:val="22"/>
          <w:lang w:val="en-US" w:eastAsia="zh-CN"/>
        </w:rPr>
        <w:t>林业和草原分局、</w:t>
      </w:r>
      <w:r>
        <w:rPr>
          <w:rFonts w:hint="eastAsia" w:eastAsia="仿宋_GB2312" w:cstheme="minorBidi"/>
          <w:color w:val="auto"/>
          <w:kern w:val="2"/>
          <w:sz w:val="32"/>
          <w:szCs w:val="22"/>
        </w:rPr>
        <w:t>保和少镇、成吉思汗大街街道办事处、古路板</w:t>
      </w:r>
      <w:r>
        <w:rPr>
          <w:rFonts w:hint="eastAsia" w:eastAsia="仿宋_GB2312" w:cstheme="minorBidi"/>
          <w:color w:val="auto"/>
          <w:kern w:val="2"/>
          <w:sz w:val="32"/>
          <w:szCs w:val="22"/>
          <w:lang w:val="en-US" w:eastAsia="zh-CN"/>
        </w:rPr>
        <w:t>管理站</w:t>
      </w:r>
      <w:r>
        <w:rPr>
          <w:rFonts w:hint="eastAsia" w:eastAsia="仿宋_GB2312" w:cstheme="minorBidi"/>
          <w:color w:val="auto"/>
          <w:kern w:val="2"/>
          <w:sz w:val="32"/>
          <w:szCs w:val="22"/>
        </w:rPr>
        <w:t>、其他森林草原管理单位的应急预案，重点体现先期处置。各地区、各单位在处置森林草原火灾工作时，应遵循</w:t>
      </w:r>
      <w:r>
        <w:rPr>
          <w:rFonts w:hint="eastAsia" w:eastAsia="仿宋_GB2312" w:cstheme="minorBidi"/>
          <w:color w:val="auto"/>
          <w:kern w:val="2"/>
          <w:sz w:val="32"/>
          <w:szCs w:val="22"/>
          <w:lang w:val="en-US" w:eastAsia="zh-CN"/>
        </w:rPr>
        <w:t>以下</w:t>
      </w:r>
      <w:r>
        <w:rPr>
          <w:rFonts w:hint="eastAsia" w:eastAsia="仿宋_GB2312" w:cstheme="minorBidi"/>
          <w:color w:val="auto"/>
          <w:kern w:val="2"/>
          <w:sz w:val="32"/>
          <w:szCs w:val="22"/>
        </w:rPr>
        <w:t>原则：</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rPr>
      </w:pPr>
      <w:r>
        <w:rPr>
          <w:rFonts w:hint="eastAsia" w:ascii="仿宋_GB2312" w:hAnsi="仿宋_GB2312" w:eastAsia="仿宋_GB2312" w:cs="仿宋_GB2312"/>
          <w:color w:val="auto"/>
          <w:kern w:val="2"/>
          <w:sz w:val="32"/>
          <w:szCs w:val="22"/>
        </w:rPr>
        <w:t>1.5.1 以人为本、科学扑救</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olor w:val="auto"/>
          <w:sz w:val="32"/>
          <w:szCs w:val="32"/>
        </w:rPr>
      </w:pPr>
      <w:r>
        <w:rPr>
          <w:rFonts w:hint="eastAsia" w:eastAsia="仿宋_GB2312" w:cstheme="minorBidi"/>
          <w:color w:val="auto"/>
          <w:kern w:val="2"/>
          <w:sz w:val="32"/>
          <w:szCs w:val="22"/>
        </w:rPr>
        <w:t>最大限度减少森林草原火灾造成的人员伤亡和财产损失，保障扑救人员生命安全。</w:t>
      </w:r>
      <w:r>
        <w:rPr>
          <w:rFonts w:hint="eastAsia" w:ascii="宋体" w:hAnsi="宋体" w:eastAsia="仿宋_GB2312"/>
          <w:color w:val="auto"/>
          <w:sz w:val="32"/>
          <w:szCs w:val="32"/>
        </w:rPr>
        <w:t>不得动员未经专业训练以及残疾人、孕妇和未成年人等其他不适宜参加森林火灾扑救的人员参加扑救工作。</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rPr>
      </w:pPr>
      <w:r>
        <w:rPr>
          <w:rFonts w:hint="eastAsia" w:ascii="仿宋_GB2312" w:hAnsi="仿宋_GB2312" w:eastAsia="仿宋_GB2312" w:cs="仿宋_GB2312"/>
          <w:color w:val="auto"/>
          <w:kern w:val="2"/>
          <w:sz w:val="32"/>
          <w:szCs w:val="22"/>
        </w:rPr>
        <w:t>1.5.2</w:t>
      </w:r>
      <w:r>
        <w:rPr>
          <w:rFonts w:hint="eastAsia" w:ascii="仿宋_GB2312" w:hAnsi="仿宋_GB2312" w:eastAsia="仿宋_GB2312" w:cs="仿宋_GB2312"/>
          <w:color w:val="auto"/>
          <w:kern w:val="2"/>
          <w:sz w:val="32"/>
          <w:szCs w:val="22"/>
          <w:lang w:val="en-US" w:eastAsia="zh-CN"/>
        </w:rPr>
        <w:t xml:space="preserve"> </w:t>
      </w:r>
      <w:r>
        <w:rPr>
          <w:rFonts w:hint="eastAsia" w:ascii="仿宋_GB2312" w:hAnsi="仿宋_GB2312" w:eastAsia="仿宋_GB2312" w:cs="仿宋_GB2312"/>
          <w:color w:val="auto"/>
          <w:kern w:val="2"/>
          <w:sz w:val="32"/>
          <w:szCs w:val="22"/>
        </w:rPr>
        <w:t>属地管理，先期处置</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按照行政区域管辖范围，发生森林草原火灾，由发生地保合少镇、</w:t>
      </w:r>
      <w:r>
        <w:rPr>
          <w:rFonts w:hint="eastAsia" w:ascii="宋体" w:hAnsi="宋体" w:eastAsia="仿宋_GB2312"/>
          <w:color w:val="auto"/>
          <w:sz w:val="32"/>
          <w:szCs w:val="32"/>
          <w:lang w:val="en-US" w:eastAsia="zh-CN"/>
        </w:rPr>
        <w:t>成吉思汗街道办事处</w:t>
      </w:r>
      <w:r>
        <w:rPr>
          <w:rFonts w:hint="eastAsia" w:ascii="宋体" w:hAnsi="宋体" w:eastAsia="仿宋_GB2312"/>
          <w:color w:val="auto"/>
          <w:sz w:val="32"/>
          <w:szCs w:val="32"/>
        </w:rPr>
        <w:t>、</w:t>
      </w:r>
      <w:r>
        <w:rPr>
          <w:rFonts w:hint="eastAsia" w:ascii="宋体" w:hAnsi="宋体" w:eastAsia="仿宋_GB2312"/>
          <w:color w:val="auto"/>
          <w:sz w:val="32"/>
          <w:szCs w:val="32"/>
          <w:lang w:eastAsia="zh-CN"/>
        </w:rPr>
        <w:t>古路板管理站</w:t>
      </w:r>
      <w:r>
        <w:rPr>
          <w:rFonts w:hint="eastAsia" w:ascii="宋体" w:hAnsi="宋体" w:eastAsia="仿宋_GB2312"/>
          <w:color w:val="auto"/>
          <w:sz w:val="32"/>
          <w:szCs w:val="32"/>
        </w:rPr>
        <w:t>负责组织先期扑救</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确保森林草原火灾打早、打小、打了。</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rPr>
      </w:pPr>
      <w:r>
        <w:rPr>
          <w:rFonts w:hint="eastAsia" w:ascii="仿宋_GB2312" w:hAnsi="仿宋_GB2312" w:eastAsia="仿宋_GB2312" w:cs="仿宋_GB2312"/>
          <w:color w:val="auto"/>
          <w:kern w:val="2"/>
          <w:sz w:val="32"/>
          <w:szCs w:val="22"/>
        </w:rPr>
        <w:t>1.5.3</w:t>
      </w:r>
      <w:r>
        <w:rPr>
          <w:rFonts w:hint="eastAsia" w:ascii="仿宋_GB2312" w:hAnsi="仿宋_GB2312" w:eastAsia="仿宋_GB2312" w:cs="仿宋_GB2312"/>
          <w:color w:val="auto"/>
          <w:kern w:val="2"/>
          <w:sz w:val="32"/>
          <w:szCs w:val="22"/>
          <w:lang w:val="en-US" w:eastAsia="zh-CN"/>
        </w:rPr>
        <w:t xml:space="preserve"> </w:t>
      </w:r>
      <w:r>
        <w:rPr>
          <w:rFonts w:hint="eastAsia" w:ascii="仿宋_GB2312" w:hAnsi="仿宋_GB2312" w:eastAsia="仿宋_GB2312" w:cs="仿宋_GB2312"/>
          <w:color w:val="auto"/>
          <w:kern w:val="2"/>
          <w:sz w:val="32"/>
          <w:szCs w:val="22"/>
        </w:rPr>
        <w:t>分级响应，逐级负责</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根据森林草原火灾的严重程度、影响范围，分级启动应急预案，逐级明确责任人和指挥权限。建立统一高效的组织指挥体系</w:t>
      </w:r>
      <w:r>
        <w:rPr>
          <w:rFonts w:hint="eastAsia" w:ascii="宋体" w:hAnsi="宋体" w:eastAsia="仿宋_GB2312"/>
          <w:color w:val="auto"/>
          <w:sz w:val="32"/>
          <w:szCs w:val="32"/>
          <w:lang w:val="en-US" w:eastAsia="zh-CN"/>
        </w:rPr>
        <w:t>和</w:t>
      </w:r>
      <w:r>
        <w:rPr>
          <w:rFonts w:hint="eastAsia" w:ascii="宋体" w:hAnsi="宋体" w:eastAsia="仿宋_GB2312"/>
          <w:color w:val="auto"/>
          <w:sz w:val="32"/>
          <w:szCs w:val="32"/>
        </w:rPr>
        <w:t>应急响应机制。</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rPr>
      </w:pPr>
      <w:bookmarkStart w:id="25" w:name="_Toc25743"/>
      <w:bookmarkStart w:id="26" w:name="_Toc5511"/>
      <w:bookmarkStart w:id="27" w:name="_Toc10588"/>
      <w:r>
        <w:rPr>
          <w:rFonts w:hint="eastAsia" w:ascii="黑体" w:eastAsia="黑体"/>
          <w:bCs/>
          <w:color w:val="auto"/>
          <w:kern w:val="44"/>
          <w:sz w:val="32"/>
          <w:szCs w:val="44"/>
        </w:rPr>
        <w:t>2 主要任务</w:t>
      </w:r>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28" w:name="_Toc14540"/>
      <w:bookmarkStart w:id="29" w:name="_Toc30767"/>
      <w:bookmarkStart w:id="30" w:name="_Toc6145"/>
      <w:r>
        <w:rPr>
          <w:rFonts w:hint="eastAsia" w:ascii="黑体" w:eastAsia="黑体"/>
          <w:bCs/>
          <w:color w:val="auto"/>
          <w:kern w:val="44"/>
          <w:sz w:val="32"/>
          <w:szCs w:val="44"/>
        </w:rPr>
        <w:t>2.1 组织灭火行动</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科学运用各种手段扑打明火、开设防火隔离带、清理火线、看守火场，严防次生灾害发生。</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31" w:name="_Toc11444"/>
      <w:bookmarkStart w:id="32" w:name="_Toc15460"/>
      <w:bookmarkStart w:id="33" w:name="_Toc25940"/>
      <w:r>
        <w:rPr>
          <w:rFonts w:hint="eastAsia" w:ascii="黑体" w:eastAsia="黑体"/>
          <w:bCs/>
          <w:color w:val="auto"/>
          <w:kern w:val="44"/>
          <w:sz w:val="32"/>
          <w:szCs w:val="44"/>
        </w:rPr>
        <w:t>2.2 解救疏散人员</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组织解救、转移、疏散受威胁群众并及时妥善安置和开展必要的医疗救治。</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34" w:name="_Toc31099"/>
      <w:bookmarkStart w:id="35" w:name="_Toc19427"/>
      <w:bookmarkStart w:id="36" w:name="_Toc15400"/>
      <w:r>
        <w:rPr>
          <w:rFonts w:hint="eastAsia" w:ascii="黑体" w:eastAsia="黑体"/>
          <w:bCs/>
          <w:color w:val="auto"/>
          <w:kern w:val="44"/>
          <w:sz w:val="32"/>
          <w:szCs w:val="44"/>
        </w:rPr>
        <w:t>2.3 保护重要目标</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保护民生和重要军事目标并确保重大危险源安全。</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37" w:name="_Toc31331"/>
      <w:bookmarkStart w:id="38" w:name="_Toc22349"/>
      <w:bookmarkStart w:id="39" w:name="_Toc7062"/>
      <w:r>
        <w:rPr>
          <w:rFonts w:hint="eastAsia" w:ascii="黑体" w:eastAsia="黑体"/>
          <w:bCs/>
          <w:color w:val="auto"/>
          <w:kern w:val="44"/>
          <w:sz w:val="32"/>
          <w:szCs w:val="44"/>
        </w:rPr>
        <w:t>2.4 转移重要物资</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组织抢救、运送、转移重要物资。</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rPr>
      </w:pPr>
      <w:bookmarkStart w:id="40" w:name="_Toc9723"/>
      <w:bookmarkStart w:id="41" w:name="_Toc23710"/>
      <w:bookmarkStart w:id="42" w:name="_Toc27221"/>
      <w:r>
        <w:rPr>
          <w:rFonts w:hint="eastAsia" w:ascii="黑体" w:eastAsia="黑体"/>
          <w:bCs/>
          <w:color w:val="auto"/>
          <w:kern w:val="44"/>
          <w:sz w:val="32"/>
          <w:szCs w:val="44"/>
        </w:rPr>
        <w:t>2.5 维护社会稳定</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color w:val="auto"/>
        </w:rPr>
      </w:pPr>
      <w:r>
        <w:rPr>
          <w:rFonts w:hint="eastAsia" w:ascii="仿宋_GB2312" w:hAnsi="仿宋_GB2312" w:eastAsia="仿宋_GB2312" w:cs="仿宋_GB2312"/>
          <w:color w:val="auto"/>
          <w:kern w:val="0"/>
          <w:sz w:val="32"/>
          <w:szCs w:val="32"/>
        </w:rPr>
        <w:t>加强火灾发生地区及周边社会治安和公共安全工作，严密防范各类违法犯罪行为，加强重点目标守卫和治安巡逻，维护火灾发生地区及周边社会秩序稳定。</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rPr>
      </w:pPr>
      <w:bookmarkStart w:id="43" w:name="_Toc23465"/>
      <w:bookmarkStart w:id="44" w:name="_Toc27880"/>
      <w:bookmarkStart w:id="45" w:name="_Toc12531"/>
      <w:bookmarkStart w:id="46" w:name="_Toc12358"/>
      <w:bookmarkStart w:id="47" w:name="_Toc26563"/>
      <w:r>
        <w:rPr>
          <w:rFonts w:hint="eastAsia" w:ascii="黑体" w:eastAsia="黑体"/>
          <w:bCs/>
          <w:color w:val="auto"/>
          <w:kern w:val="44"/>
          <w:sz w:val="32"/>
          <w:szCs w:val="44"/>
          <w:lang w:val="en-US" w:eastAsia="zh-CN"/>
        </w:rPr>
        <w:t>3</w:t>
      </w:r>
      <w:r>
        <w:rPr>
          <w:rFonts w:hint="eastAsia" w:ascii="黑体" w:eastAsia="黑体"/>
          <w:bCs/>
          <w:color w:val="auto"/>
          <w:kern w:val="44"/>
          <w:sz w:val="32"/>
          <w:szCs w:val="44"/>
        </w:rPr>
        <w:t xml:space="preserve"> 组织指挥体系</w:t>
      </w:r>
      <w:bookmarkEnd w:id="43"/>
      <w:bookmarkEnd w:id="44"/>
      <w:r>
        <w:rPr>
          <w:rFonts w:hint="eastAsia" w:ascii="黑体" w:eastAsia="黑体"/>
          <w:bCs/>
          <w:color w:val="auto"/>
          <w:kern w:val="44"/>
          <w:sz w:val="32"/>
          <w:szCs w:val="44"/>
        </w:rPr>
        <w:t>与职责</w:t>
      </w:r>
      <w:bookmarkEnd w:id="45"/>
      <w:bookmarkEnd w:id="46"/>
      <w:bookmarkEnd w:id="47"/>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48" w:name="_Toc24091"/>
      <w:bookmarkStart w:id="49" w:name="_Toc17333"/>
      <w:bookmarkStart w:id="50" w:name="_Toc15581"/>
      <w:bookmarkStart w:id="51" w:name="_Toc31131"/>
      <w:bookmarkStart w:id="52" w:name="_Toc3688"/>
      <w:r>
        <w:rPr>
          <w:rFonts w:hint="eastAsia" w:ascii="黑体" w:eastAsia="黑体"/>
          <w:bCs/>
          <w:color w:val="auto"/>
          <w:kern w:val="44"/>
          <w:sz w:val="32"/>
          <w:szCs w:val="44"/>
          <w:lang w:val="en-US" w:eastAsia="zh-CN"/>
        </w:rPr>
        <w:t>3</w:t>
      </w:r>
      <w:r>
        <w:rPr>
          <w:rFonts w:hint="eastAsia" w:ascii="黑体" w:eastAsia="黑体"/>
          <w:bCs/>
          <w:color w:val="auto"/>
          <w:kern w:val="44"/>
          <w:sz w:val="32"/>
          <w:szCs w:val="44"/>
        </w:rPr>
        <w:t>.1</w:t>
      </w:r>
      <w:bookmarkEnd w:id="48"/>
      <w:bookmarkEnd w:id="49"/>
      <w:r>
        <w:rPr>
          <w:rFonts w:hint="eastAsia" w:ascii="黑体" w:eastAsia="黑体"/>
          <w:bCs/>
          <w:color w:val="auto"/>
          <w:kern w:val="44"/>
          <w:sz w:val="32"/>
          <w:szCs w:val="44"/>
        </w:rPr>
        <w:t xml:space="preserve"> 森林草原防灭火指挥机构</w:t>
      </w:r>
      <w:bookmarkEnd w:id="50"/>
      <w:r>
        <w:rPr>
          <w:rFonts w:hint="eastAsia" w:ascii="黑体" w:eastAsia="黑体"/>
          <w:bCs/>
          <w:color w:val="auto"/>
          <w:kern w:val="44"/>
          <w:sz w:val="32"/>
          <w:szCs w:val="44"/>
          <w:lang w:val="en-US" w:eastAsia="zh-CN"/>
        </w:rPr>
        <w:t>及其成员</w:t>
      </w:r>
      <w:bookmarkEnd w:id="51"/>
      <w:r>
        <w:rPr>
          <w:rFonts w:hint="eastAsia" w:ascii="黑体" w:eastAsia="黑体"/>
          <w:bCs/>
          <w:color w:val="auto"/>
          <w:kern w:val="44"/>
          <w:sz w:val="32"/>
          <w:szCs w:val="44"/>
          <w:lang w:val="en-US" w:eastAsia="zh-CN"/>
        </w:rPr>
        <w:t>单位</w:t>
      </w:r>
      <w:bookmarkEnd w:id="52"/>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lang w:val="en-US" w:eastAsia="zh-CN"/>
        </w:rPr>
      </w:pPr>
      <w:r>
        <w:rPr>
          <w:rFonts w:hint="eastAsia" w:ascii="仿宋_GB2312" w:hAnsi="仿宋_GB2312" w:eastAsia="仿宋_GB2312" w:cs="仿宋_GB2312"/>
          <w:color w:val="auto"/>
          <w:kern w:val="2"/>
          <w:sz w:val="32"/>
          <w:szCs w:val="22"/>
          <w:lang w:val="en-US" w:eastAsia="zh-CN"/>
        </w:rPr>
        <w:t>3</w:t>
      </w:r>
      <w:r>
        <w:rPr>
          <w:rFonts w:hint="eastAsia" w:ascii="仿宋_GB2312" w:hAnsi="仿宋_GB2312" w:eastAsia="仿宋_GB2312" w:cs="仿宋_GB2312"/>
          <w:color w:val="auto"/>
          <w:kern w:val="2"/>
          <w:sz w:val="32"/>
          <w:szCs w:val="22"/>
        </w:rPr>
        <w:t>.1</w:t>
      </w:r>
      <w:r>
        <w:rPr>
          <w:rFonts w:hint="eastAsia" w:ascii="仿宋_GB2312" w:hAnsi="仿宋_GB2312" w:eastAsia="仿宋_GB2312" w:cs="仿宋_GB2312"/>
          <w:color w:val="auto"/>
          <w:kern w:val="2"/>
          <w:sz w:val="32"/>
          <w:szCs w:val="22"/>
          <w:lang w:val="en-US" w:eastAsia="zh-CN"/>
        </w:rPr>
        <w:t>.1</w:t>
      </w:r>
      <w:r>
        <w:rPr>
          <w:rFonts w:hint="eastAsia" w:ascii="仿宋_GB2312" w:hAnsi="仿宋_GB2312" w:eastAsia="仿宋_GB2312" w:cs="仿宋_GB2312"/>
          <w:color w:val="auto"/>
          <w:kern w:val="2"/>
          <w:sz w:val="32"/>
          <w:szCs w:val="22"/>
        </w:rPr>
        <w:t xml:space="preserve"> </w:t>
      </w:r>
      <w:r>
        <w:rPr>
          <w:rFonts w:hint="eastAsia" w:ascii="仿宋_GB2312" w:hAnsi="仿宋_GB2312" w:eastAsia="仿宋_GB2312" w:cs="仿宋_GB2312"/>
          <w:color w:val="auto"/>
          <w:kern w:val="2"/>
          <w:sz w:val="32"/>
          <w:szCs w:val="22"/>
          <w:lang w:val="en-US" w:eastAsia="zh-CN"/>
        </w:rPr>
        <w:t>区</w:t>
      </w:r>
      <w:r>
        <w:rPr>
          <w:rFonts w:hint="eastAsia" w:ascii="仿宋_GB2312" w:hAnsi="仿宋_GB2312" w:eastAsia="仿宋_GB2312" w:cs="仿宋_GB2312"/>
          <w:color w:val="auto"/>
          <w:kern w:val="2"/>
          <w:sz w:val="32"/>
          <w:szCs w:val="22"/>
        </w:rPr>
        <w:t>森林草原防灭火指挥</w:t>
      </w:r>
      <w:r>
        <w:rPr>
          <w:rFonts w:hint="eastAsia" w:ascii="仿宋_GB2312" w:hAnsi="仿宋_GB2312" w:eastAsia="仿宋_GB2312" w:cs="仿宋_GB2312"/>
          <w:color w:val="auto"/>
          <w:kern w:val="2"/>
          <w:sz w:val="32"/>
          <w:szCs w:val="22"/>
          <w:lang w:val="en-US" w:eastAsia="zh-CN"/>
        </w:rPr>
        <w:t>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区森林</w:t>
      </w:r>
      <w:r>
        <w:rPr>
          <w:rFonts w:hint="eastAsia" w:ascii="仿宋_GB2312" w:hAnsi="仿宋_GB2312" w:eastAsia="仿宋_GB2312" w:cs="仿宋_GB2312"/>
          <w:color w:val="auto"/>
          <w:sz w:val="32"/>
          <w:szCs w:val="32"/>
          <w:lang w:val="en-US" w:eastAsia="zh-CN"/>
        </w:rPr>
        <w:t>草原</w:t>
      </w:r>
      <w:r>
        <w:rPr>
          <w:rFonts w:hint="eastAsia" w:ascii="仿宋_GB2312" w:hAnsi="仿宋_GB2312" w:eastAsia="仿宋_GB2312" w:cs="仿宋_GB2312"/>
          <w:color w:val="auto"/>
          <w:sz w:val="32"/>
          <w:szCs w:val="32"/>
        </w:rPr>
        <w:t>防灭火指挥部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以下简称“区森防指”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负责组织、协调和指导</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区森林</w:t>
      </w:r>
      <w:r>
        <w:rPr>
          <w:rFonts w:hint="eastAsia" w:ascii="仿宋_GB2312" w:hAnsi="仿宋_GB2312" w:eastAsia="仿宋_GB2312" w:cs="仿宋_GB2312"/>
          <w:color w:val="auto"/>
          <w:sz w:val="32"/>
          <w:szCs w:val="32"/>
          <w:lang w:val="en-US" w:eastAsia="zh-CN"/>
        </w:rPr>
        <w:t>草原</w:t>
      </w:r>
      <w:r>
        <w:rPr>
          <w:rFonts w:hint="eastAsia" w:ascii="仿宋_GB2312" w:hAnsi="仿宋_GB2312" w:eastAsia="仿宋_GB2312" w:cs="仿宋_GB2312"/>
          <w:color w:val="auto"/>
          <w:sz w:val="32"/>
          <w:szCs w:val="32"/>
        </w:rPr>
        <w:t>防灭火工作。</w:t>
      </w:r>
      <w:r>
        <w:rPr>
          <w:rFonts w:hint="eastAsia" w:ascii="仿宋_GB2312" w:hAnsi="仿宋_GB2312" w:eastAsia="仿宋_GB2312" w:cs="仿宋_GB2312"/>
          <w:color w:val="auto"/>
          <w:kern w:val="2"/>
          <w:sz w:val="32"/>
          <w:szCs w:val="22"/>
        </w:rPr>
        <w:t>保和少镇、成吉思汗大街街道办事处、</w:t>
      </w:r>
      <w:r>
        <w:rPr>
          <w:rFonts w:hint="eastAsia" w:ascii="仿宋_GB2312" w:hAnsi="仿宋_GB2312" w:eastAsia="仿宋_GB2312" w:cs="仿宋_GB2312"/>
          <w:color w:val="auto"/>
          <w:kern w:val="2"/>
          <w:sz w:val="32"/>
          <w:szCs w:val="22"/>
          <w:lang w:eastAsia="zh-CN"/>
        </w:rPr>
        <w:t>古路板管理站</w:t>
      </w:r>
      <w:r>
        <w:rPr>
          <w:rFonts w:hint="eastAsia" w:ascii="仿宋_GB2312" w:hAnsi="仿宋_GB2312" w:eastAsia="仿宋_GB2312" w:cs="仿宋_GB2312"/>
          <w:color w:val="auto"/>
          <w:kern w:val="2"/>
          <w:sz w:val="32"/>
          <w:szCs w:val="22"/>
        </w:rPr>
        <w:t>、其他森林草原管理单位按要求设立森林草原</w:t>
      </w:r>
      <w:r>
        <w:rPr>
          <w:rFonts w:hint="eastAsia" w:ascii="仿宋_GB2312" w:hAnsi="仿宋_GB2312" w:eastAsia="仿宋_GB2312" w:cs="仿宋_GB2312"/>
          <w:color w:val="auto"/>
          <w:kern w:val="2"/>
          <w:sz w:val="32"/>
          <w:szCs w:val="22"/>
          <w:lang w:val="en-US" w:eastAsia="zh-CN"/>
        </w:rPr>
        <w:t>防</w:t>
      </w:r>
      <w:r>
        <w:rPr>
          <w:rFonts w:hint="eastAsia" w:ascii="仿宋_GB2312" w:hAnsi="仿宋_GB2312" w:eastAsia="仿宋_GB2312" w:cs="仿宋_GB2312"/>
          <w:color w:val="auto"/>
          <w:kern w:val="2"/>
          <w:sz w:val="32"/>
          <w:szCs w:val="22"/>
        </w:rPr>
        <w:t>灭火指挥</w:t>
      </w:r>
      <w:r>
        <w:rPr>
          <w:rFonts w:hint="eastAsia" w:ascii="仿宋_GB2312" w:hAnsi="仿宋_GB2312" w:eastAsia="仿宋_GB2312" w:cs="仿宋_GB2312"/>
          <w:color w:val="auto"/>
          <w:kern w:val="2"/>
          <w:sz w:val="32"/>
          <w:szCs w:val="22"/>
          <w:lang w:val="en-US" w:eastAsia="zh-CN"/>
        </w:rPr>
        <w:t>部</w:t>
      </w:r>
      <w:r>
        <w:rPr>
          <w:rFonts w:hint="eastAsia" w:ascii="仿宋_GB2312" w:hAnsi="仿宋_GB2312" w:eastAsia="仿宋_GB2312" w:cs="仿宋_GB2312"/>
          <w:color w:val="auto"/>
          <w:kern w:val="2"/>
          <w:sz w:val="32"/>
          <w:szCs w:val="22"/>
        </w:rPr>
        <w:t>，负责组织力量扑救本辖区森林草原火灾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区森防指组成如下：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158" w:leftChars="304" w:right="0" w:hanging="3520" w:hangingChars="11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指</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挥：</w:t>
      </w:r>
      <w:r>
        <w:rPr>
          <w:rFonts w:hint="eastAsia" w:ascii="仿宋_GB2312" w:hAnsi="仿宋_GB2312" w:eastAsia="仿宋_GB2312" w:cs="仿宋_GB2312"/>
          <w:color w:val="auto"/>
          <w:sz w:val="32"/>
          <w:szCs w:val="32"/>
          <w:lang w:val="en-US" w:eastAsia="zh-CN"/>
        </w:rPr>
        <w:t xml:space="preserve">殷树刚  </w:t>
      </w:r>
      <w:r>
        <w:rPr>
          <w:rFonts w:hint="eastAsia" w:ascii="仿宋_GB2312" w:hAnsi="仿宋_GB2312" w:eastAsia="仿宋_GB2312" w:cs="仿宋_GB2312"/>
          <w:color w:val="auto"/>
          <w:sz w:val="32"/>
          <w:szCs w:val="22"/>
          <w:highlight w:val="none"/>
          <w:lang w:val="en-US" w:eastAsia="zh-CN"/>
        </w:rPr>
        <w:t>区委副书记、政府党组书记、区人民政府代区长</w:t>
      </w:r>
    </w:p>
    <w:p>
      <w:pPr>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bookmarkStart w:id="53" w:name="_Toc5131"/>
      <w:bookmarkStart w:id="54" w:name="_Toc23974"/>
      <w:bookmarkStart w:id="55" w:name="_Toc21712"/>
      <w:r>
        <w:rPr>
          <w:rFonts w:hint="eastAsia" w:ascii="仿宋_GB2312" w:hAnsi="仿宋_GB2312" w:eastAsia="仿宋_GB2312" w:cs="仿宋_GB2312"/>
          <w:color w:val="auto"/>
          <w:sz w:val="32"/>
          <w:szCs w:val="32"/>
          <w:lang w:val="en-US" w:eastAsia="zh-CN"/>
        </w:rPr>
        <w:t>常务副总指挥：安  伟  区人民政府常务副区长</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指</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挥：</w:t>
      </w:r>
      <w:r>
        <w:rPr>
          <w:rFonts w:hint="eastAsia" w:ascii="仿宋_GB2312" w:hAnsi="仿宋_GB2312" w:eastAsia="仿宋_GB2312" w:cs="仿宋_GB2312"/>
          <w:color w:val="auto"/>
          <w:kern w:val="2"/>
          <w:sz w:val="32"/>
          <w:szCs w:val="22"/>
          <w:lang w:val="en-US" w:eastAsia="zh-CN" w:bidi="ar-SA"/>
        </w:rPr>
        <w:t>孟树涛  区武装部部长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海  明  区人民政府副区长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  青  区人民政府副区长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郝占成  区安委会副主任</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尹  群  区人民政府办公室主任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0"/>
          <w:sz w:val="32"/>
          <w:szCs w:val="32"/>
          <w:lang w:val="en-US" w:eastAsia="zh-CN" w:bidi="ar-SA"/>
        </w:rPr>
        <w:t>成        员：</w:t>
      </w:r>
      <w:r>
        <w:rPr>
          <w:rFonts w:hint="eastAsia" w:ascii="仿宋_GB2312" w:hAnsi="仿宋_GB2312" w:eastAsia="仿宋_GB2312" w:cs="仿宋_GB2312"/>
          <w:color w:val="auto"/>
          <w:kern w:val="2"/>
          <w:sz w:val="32"/>
          <w:szCs w:val="22"/>
          <w:lang w:val="en-US" w:eastAsia="zh-CN" w:bidi="ar-SA"/>
        </w:rPr>
        <w:t>王  昇  区委宣传部副部长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2"/>
          <w:sz w:val="32"/>
          <w:szCs w:val="22"/>
          <w:lang w:val="en-US" w:eastAsia="zh-CN" w:bidi="ar-SA"/>
        </w:rPr>
        <w:t>戚  英  区应急管理局局长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default"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张计标  古路板管理站负责人</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李世珍  区林业和草原分局局长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白俊明  区气象分局局长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云柏瑞  公安分局副局长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季  勇  自然资源分局局长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张  辉  区交管大队大队长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孙际峰  区消防大队大队长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任真平  区住房和城乡建设局局长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乔国彪  区农牧水利局局长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季利民  区发展和改革委员会主任</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黄咏梅  区教育局局长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云  智  区工业和信息化局局长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戈二平  区民政局局长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王美君  区财政局局长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兰建军  区文化旅游广电局局长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胡  燕  区卫生健康委员会主任</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default"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王国华  区城市管理综合执法局局长</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邸海龙  保合少镇党委书记</w:t>
      </w:r>
    </w:p>
    <w:p>
      <w:pPr>
        <w:keepNext w:val="0"/>
        <w:keepLines w:val="0"/>
        <w:pageBreakBefore w:val="0"/>
        <w:widowControl w:val="0"/>
        <w:kinsoku/>
        <w:wordWrap/>
        <w:overflowPunct/>
        <w:topLinePunct w:val="0"/>
        <w:autoSpaceDE/>
        <w:autoSpaceDN/>
        <w:bidi w:val="0"/>
        <w:adjustRightInd/>
        <w:snapToGrid/>
        <w:spacing w:line="360" w:lineRule="auto"/>
        <w:ind w:left="4153" w:leftChars="1368" w:hanging="1280" w:hangingChars="400"/>
        <w:jc w:val="left"/>
        <w:textAlignment w:val="auto"/>
        <w:rPr>
          <w:rFonts w:hint="default"/>
          <w:color w:val="auto"/>
          <w:lang w:val="en-US"/>
        </w:rPr>
      </w:pPr>
      <w:r>
        <w:rPr>
          <w:rFonts w:hint="eastAsia" w:ascii="仿宋_GB2312" w:hAnsi="仿宋_GB2312" w:eastAsia="仿宋_GB2312" w:cs="仿宋_GB2312"/>
          <w:color w:val="auto"/>
          <w:kern w:val="2"/>
          <w:sz w:val="32"/>
          <w:szCs w:val="22"/>
          <w:lang w:val="en-US" w:eastAsia="zh-CN" w:bidi="ar-SA"/>
        </w:rPr>
        <w:t>王雪冰  成吉思汗大街街道党工委书记</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lang w:val="en-US" w:eastAsia="zh-CN"/>
        </w:rPr>
      </w:pPr>
      <w:r>
        <w:rPr>
          <w:rFonts w:hint="eastAsia" w:ascii="仿宋_GB2312" w:hAnsi="仿宋_GB2312" w:eastAsia="仿宋_GB2312" w:cs="仿宋_GB2312"/>
          <w:color w:val="auto"/>
          <w:kern w:val="2"/>
          <w:sz w:val="32"/>
          <w:szCs w:val="22"/>
          <w:lang w:val="en-US" w:eastAsia="zh-CN"/>
        </w:rPr>
        <w:t>3.1.2 区森林草原防灭火指挥部职责</w:t>
      </w:r>
    </w:p>
    <w:p>
      <w:pPr>
        <w:pageBreakBefore w:val="0"/>
        <w:widowControl w:val="0"/>
        <w:kinsoku/>
        <w:wordWrap/>
        <w:overflowPunct/>
        <w:topLinePunct w:val="0"/>
        <w:autoSpaceDE/>
        <w:autoSpaceDN/>
        <w:bidi w:val="0"/>
        <w:spacing w:before="0" w:after="0" w:line="360" w:lineRule="auto"/>
        <w:ind w:firstLine="640" w:firstLineChars="200"/>
        <w:jc w:val="left"/>
        <w:textAlignment w:val="auto"/>
        <w:rPr>
          <w:rFonts w:hint="eastAsia" w:ascii="仿宋_GB2312" w:hAnsi="仿宋_GB2312" w:eastAsia="仿宋_GB2312" w:cs="仿宋_GB2312"/>
          <w:color w:val="auto"/>
          <w:sz w:val="32"/>
          <w:szCs w:val="32"/>
          <w:lang w:eastAsia="zh-CN"/>
        </w:rPr>
      </w:pPr>
      <w:bookmarkStart w:id="56" w:name="_Toc30771"/>
      <w:bookmarkStart w:id="57" w:name="_Toc28347"/>
      <w:bookmarkStart w:id="58" w:name="_Toc7438"/>
      <w:bookmarkStart w:id="59" w:name="_Toc3049"/>
      <w:bookmarkStart w:id="60" w:name="_Toc32102"/>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贯彻执行国家、自治区和市森林草原防灭火法律、法规、规章、政策和决策部署</w:t>
      </w:r>
      <w:bookmarkEnd w:id="56"/>
      <w:bookmarkEnd w:id="57"/>
      <w:bookmarkEnd w:id="58"/>
      <w:bookmarkEnd w:id="59"/>
      <w:bookmarkEnd w:id="60"/>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left"/>
        <w:textAlignment w:val="auto"/>
        <w:rPr>
          <w:rFonts w:hint="eastAsia" w:ascii="仿宋_GB2312" w:hAnsi="仿宋_GB2312" w:eastAsia="仿宋_GB2312" w:cs="仿宋_GB2312"/>
          <w:b w:val="0"/>
          <w:bCs w:val="0"/>
          <w:color w:val="auto"/>
          <w:kern w:val="2"/>
          <w:sz w:val="32"/>
          <w:szCs w:val="32"/>
          <w:lang w:eastAsia="zh-CN"/>
        </w:rPr>
      </w:pPr>
      <w:bookmarkStart w:id="61" w:name="_Toc9533"/>
      <w:bookmarkStart w:id="62" w:name="_Toc10099"/>
      <w:bookmarkStart w:id="63" w:name="_Toc8228"/>
      <w:bookmarkStart w:id="64" w:name="_Toc1042"/>
      <w:bookmarkStart w:id="65" w:name="_Toc27516"/>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2</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落实</w:t>
      </w:r>
      <w:r>
        <w:rPr>
          <w:rFonts w:hint="eastAsia" w:ascii="仿宋_GB2312" w:hAnsi="仿宋_GB2312" w:eastAsia="仿宋_GB2312" w:cs="仿宋_GB2312"/>
          <w:b w:val="0"/>
          <w:bCs w:val="0"/>
          <w:color w:val="auto"/>
          <w:kern w:val="2"/>
          <w:sz w:val="32"/>
          <w:szCs w:val="32"/>
          <w:lang w:val="en-US" w:eastAsia="zh-CN"/>
        </w:rPr>
        <w:t>本</w:t>
      </w:r>
      <w:r>
        <w:rPr>
          <w:rFonts w:hint="eastAsia" w:ascii="仿宋_GB2312" w:hAnsi="仿宋_GB2312" w:eastAsia="仿宋_GB2312" w:cs="仿宋_GB2312"/>
          <w:b w:val="0"/>
          <w:bCs w:val="0"/>
          <w:color w:val="auto"/>
          <w:kern w:val="2"/>
          <w:sz w:val="32"/>
          <w:szCs w:val="32"/>
        </w:rPr>
        <w:t>区森林草原防灭火规划，制定年度工作计划和措施，完善火灾预防、扑救及其保障制度</w:t>
      </w:r>
      <w:bookmarkEnd w:id="61"/>
      <w:bookmarkEnd w:id="62"/>
      <w:bookmarkEnd w:id="63"/>
      <w:bookmarkEnd w:id="64"/>
      <w:bookmarkEnd w:id="65"/>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bookmarkStart w:id="66" w:name="_Toc9557"/>
      <w:bookmarkStart w:id="67" w:name="_Toc21541"/>
      <w:bookmarkStart w:id="68" w:name="_Toc356"/>
      <w:bookmarkStart w:id="69" w:name="_Toc19506"/>
      <w:bookmarkStart w:id="70" w:name="_Toc25164"/>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3</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组织开展森林草原防灭火安全检查和火险隐患排查，加强野外火源管理，督促有关地区、部门和单位加强防灭火基础设施建设和防灭火物资管理</w:t>
      </w:r>
      <w:bookmarkEnd w:id="66"/>
      <w:bookmarkEnd w:id="67"/>
      <w:bookmarkEnd w:id="68"/>
      <w:bookmarkEnd w:id="69"/>
      <w:bookmarkEnd w:id="70"/>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bookmarkStart w:id="71" w:name="_Toc18030"/>
      <w:bookmarkStart w:id="72" w:name="_Toc22088"/>
      <w:bookmarkStart w:id="73" w:name="_Toc15557"/>
      <w:bookmarkStart w:id="74" w:name="_Toc28437"/>
      <w:bookmarkStart w:id="75" w:name="_Toc23891"/>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4</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指导</w:t>
      </w:r>
      <w:r>
        <w:rPr>
          <w:rFonts w:hint="eastAsia" w:ascii="仿宋_GB2312" w:hAnsi="仿宋_GB2312" w:eastAsia="仿宋_GB2312" w:cs="仿宋_GB2312"/>
          <w:b w:val="0"/>
          <w:bCs w:val="0"/>
          <w:color w:val="auto"/>
          <w:kern w:val="2"/>
          <w:sz w:val="32"/>
          <w:szCs w:val="32"/>
          <w:lang w:val="en-US" w:eastAsia="zh-CN"/>
        </w:rPr>
        <w:t>本</w:t>
      </w:r>
      <w:r>
        <w:rPr>
          <w:rFonts w:hint="eastAsia" w:ascii="仿宋_GB2312" w:hAnsi="仿宋_GB2312" w:eastAsia="仿宋_GB2312" w:cs="仿宋_GB2312"/>
          <w:b w:val="0"/>
          <w:bCs w:val="0"/>
          <w:color w:val="auto"/>
          <w:kern w:val="2"/>
          <w:sz w:val="32"/>
          <w:szCs w:val="32"/>
        </w:rPr>
        <w:t>区森林草原扑火专业队伍的建设工作，组织开展森林草原防灭火宣传教育，培训森林草原防扑火专业人员</w:t>
      </w:r>
      <w:bookmarkEnd w:id="71"/>
      <w:bookmarkEnd w:id="72"/>
      <w:bookmarkEnd w:id="73"/>
      <w:bookmarkEnd w:id="74"/>
      <w:bookmarkEnd w:id="75"/>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bookmarkStart w:id="76" w:name="_Toc10145"/>
      <w:bookmarkStart w:id="77" w:name="_Toc9836"/>
      <w:bookmarkStart w:id="78" w:name="_Toc20934"/>
      <w:bookmarkStart w:id="79" w:name="_Toc32685"/>
      <w:bookmarkStart w:id="80" w:name="_Toc28644"/>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5</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启动本级森林草原火灾应急预案，制定扑火方案，统一组织和指挥各类森林草原扑火队伍开展森林草原火灾扑救工作</w:t>
      </w:r>
      <w:bookmarkEnd w:id="76"/>
      <w:bookmarkEnd w:id="77"/>
      <w:bookmarkEnd w:id="78"/>
      <w:bookmarkEnd w:id="79"/>
      <w:bookmarkEnd w:id="80"/>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bookmarkStart w:id="81" w:name="_Toc6783"/>
      <w:bookmarkStart w:id="82" w:name="_Toc3752"/>
      <w:bookmarkStart w:id="83" w:name="_Toc24719"/>
      <w:bookmarkStart w:id="84" w:name="_Toc24727"/>
      <w:bookmarkStart w:id="85" w:name="_Toc28420"/>
      <w:r>
        <w:rPr>
          <w:rFonts w:hint="eastAsia" w:ascii="仿宋_GB2312" w:hAnsi="仿宋_GB2312" w:eastAsia="仿宋_GB2312" w:cs="仿宋_GB2312"/>
          <w:b w:val="0"/>
          <w:bCs w:val="0"/>
          <w:color w:val="auto"/>
          <w:kern w:val="2"/>
          <w:sz w:val="32"/>
          <w:szCs w:val="32"/>
          <w:lang w:val="en-US" w:eastAsia="zh-CN"/>
        </w:rPr>
        <w:t>（6）</w:t>
      </w:r>
      <w:r>
        <w:rPr>
          <w:rFonts w:hint="eastAsia" w:ascii="仿宋_GB2312" w:hAnsi="仿宋_GB2312" w:eastAsia="仿宋_GB2312" w:cs="仿宋_GB2312"/>
          <w:b w:val="0"/>
          <w:bCs w:val="0"/>
          <w:color w:val="auto"/>
          <w:kern w:val="2"/>
          <w:sz w:val="32"/>
          <w:szCs w:val="32"/>
        </w:rPr>
        <w:t>负责联系毗邻县（区）森林草原防灭火指挥部，协调处置跨区域森林草原火灾</w:t>
      </w:r>
      <w:bookmarkEnd w:id="81"/>
      <w:bookmarkEnd w:id="82"/>
      <w:bookmarkEnd w:id="83"/>
      <w:bookmarkEnd w:id="84"/>
      <w:bookmarkEnd w:id="85"/>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bookmarkStart w:id="86" w:name="_Toc8522"/>
      <w:bookmarkStart w:id="87" w:name="_Toc1078"/>
      <w:bookmarkStart w:id="88" w:name="_Toc31553"/>
      <w:bookmarkStart w:id="89" w:name="_Toc13192"/>
      <w:bookmarkStart w:id="90" w:name="_Toc26850"/>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7</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负责指导森林草原火情监测、火险预测、预报和火灾调度、统计、信息上报、建档工作等有关事项</w:t>
      </w:r>
      <w:bookmarkEnd w:id="86"/>
      <w:bookmarkEnd w:id="87"/>
      <w:bookmarkEnd w:id="88"/>
      <w:bookmarkEnd w:id="89"/>
      <w:bookmarkEnd w:id="90"/>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bookmarkStart w:id="91" w:name="_Toc21604"/>
      <w:bookmarkStart w:id="92" w:name="_Toc15781"/>
      <w:bookmarkStart w:id="93" w:name="_Toc2759"/>
      <w:bookmarkStart w:id="94" w:name="_Toc29457"/>
      <w:bookmarkStart w:id="95" w:name="_Toc32269"/>
      <w:r>
        <w:rPr>
          <w:rFonts w:hint="eastAsia" w:ascii="仿宋_GB2312" w:hAnsi="仿宋_GB2312" w:eastAsia="仿宋_GB2312" w:cs="仿宋_GB2312"/>
          <w:b w:val="0"/>
          <w:bCs w:val="0"/>
          <w:color w:val="auto"/>
          <w:kern w:val="2"/>
          <w:sz w:val="32"/>
          <w:szCs w:val="32"/>
          <w:lang w:val="en-US" w:eastAsia="zh-CN"/>
        </w:rPr>
        <w:t>（8）</w:t>
      </w:r>
      <w:r>
        <w:rPr>
          <w:rFonts w:hint="eastAsia" w:ascii="仿宋_GB2312" w:hAnsi="仿宋_GB2312" w:eastAsia="仿宋_GB2312" w:cs="仿宋_GB2312"/>
          <w:b w:val="0"/>
          <w:bCs w:val="0"/>
          <w:color w:val="auto"/>
          <w:kern w:val="2"/>
          <w:sz w:val="32"/>
          <w:szCs w:val="32"/>
        </w:rPr>
        <w:t>监督有关森林草原火灾案件的查处和责任追究</w:t>
      </w:r>
      <w:bookmarkEnd w:id="91"/>
      <w:bookmarkEnd w:id="92"/>
      <w:bookmarkEnd w:id="93"/>
      <w:bookmarkEnd w:id="94"/>
      <w:bookmarkEnd w:id="95"/>
      <w:r>
        <w:rPr>
          <w:rFonts w:hint="eastAsia" w:ascii="仿宋_GB2312" w:hAnsi="仿宋_GB2312" w:eastAsia="仿宋_GB2312" w:cs="仿宋_GB2312"/>
          <w:b w:val="0"/>
          <w:bCs w:val="0"/>
          <w:color w:val="auto"/>
          <w:kern w:val="2"/>
          <w:sz w:val="32"/>
          <w:szCs w:val="32"/>
          <w:lang w:eastAsia="zh-CN"/>
        </w:rPr>
        <w:t>。</w:t>
      </w:r>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rPr>
      </w:pPr>
      <w:bookmarkStart w:id="96" w:name="_Toc15585"/>
      <w:bookmarkStart w:id="97" w:name="_Toc10983"/>
      <w:bookmarkStart w:id="98" w:name="_Toc32011"/>
      <w:bookmarkStart w:id="99" w:name="_Toc10703"/>
      <w:bookmarkStart w:id="100" w:name="_Toc5237"/>
      <w:r>
        <w:rPr>
          <w:rFonts w:hint="eastAsia" w:ascii="仿宋_GB2312" w:hAnsi="仿宋_GB2312" w:eastAsia="仿宋_GB2312" w:cs="仿宋_GB2312"/>
          <w:b w:val="0"/>
          <w:bCs w:val="0"/>
          <w:color w:val="auto"/>
          <w:kern w:val="2"/>
          <w:sz w:val="32"/>
          <w:szCs w:val="32"/>
          <w:lang w:val="en-US" w:eastAsia="zh-CN"/>
        </w:rPr>
        <w:t>（9）</w:t>
      </w:r>
      <w:r>
        <w:rPr>
          <w:rFonts w:hint="eastAsia" w:ascii="仿宋_GB2312" w:hAnsi="仿宋_GB2312" w:eastAsia="仿宋_GB2312" w:cs="仿宋_GB2312"/>
          <w:b w:val="0"/>
          <w:bCs w:val="0"/>
          <w:color w:val="auto"/>
          <w:kern w:val="2"/>
          <w:sz w:val="32"/>
          <w:szCs w:val="32"/>
        </w:rPr>
        <w:t>协调解决地区之间、部门之间有关森林草原防灭</w:t>
      </w:r>
      <w:r>
        <w:rPr>
          <w:rFonts w:hint="eastAsia" w:ascii="仿宋_GB2312" w:hAnsi="仿宋_GB2312" w:eastAsia="仿宋_GB2312" w:cs="仿宋_GB2312"/>
          <w:b w:val="0"/>
          <w:bCs w:val="0"/>
          <w:color w:val="auto"/>
          <w:kern w:val="2"/>
          <w:sz w:val="32"/>
          <w:szCs w:val="32"/>
          <w:lang w:eastAsia="zh-CN"/>
        </w:rPr>
        <w:t>火</w:t>
      </w:r>
      <w:r>
        <w:rPr>
          <w:rFonts w:hint="eastAsia" w:ascii="仿宋_GB2312" w:hAnsi="仿宋_GB2312" w:eastAsia="仿宋_GB2312" w:cs="仿宋_GB2312"/>
          <w:b w:val="0"/>
          <w:bCs w:val="0"/>
          <w:color w:val="auto"/>
          <w:kern w:val="2"/>
          <w:sz w:val="32"/>
          <w:szCs w:val="32"/>
        </w:rPr>
        <w:t>的重大问题，决定森林草原防灭火其他重大事项。</w:t>
      </w:r>
      <w:bookmarkEnd w:id="96"/>
      <w:bookmarkEnd w:id="97"/>
      <w:bookmarkEnd w:id="98"/>
      <w:bookmarkEnd w:id="99"/>
      <w:bookmarkEnd w:id="100"/>
    </w:p>
    <w:p>
      <w:pPr>
        <w:pageBreakBefore w:val="0"/>
        <w:widowControl w:val="0"/>
        <w:kinsoku/>
        <w:wordWrap/>
        <w:overflowPunct/>
        <w:topLinePunct w:val="0"/>
        <w:autoSpaceDE/>
        <w:autoSpaceDN/>
        <w:bidi w:val="0"/>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rPr>
      </w:pPr>
      <w:bookmarkStart w:id="101" w:name="_Toc17948"/>
      <w:bookmarkStart w:id="102" w:name="_Toc15168"/>
      <w:bookmarkStart w:id="103" w:name="_Toc31770"/>
      <w:bookmarkStart w:id="104" w:name="_Toc6396"/>
      <w:bookmarkStart w:id="105" w:name="_Toc388"/>
      <w:r>
        <w:rPr>
          <w:rFonts w:hint="eastAsia" w:ascii="仿宋_GB2312" w:hAnsi="仿宋_GB2312" w:eastAsia="仿宋_GB2312" w:cs="仿宋_GB2312"/>
          <w:b w:val="0"/>
          <w:bCs w:val="0"/>
          <w:color w:val="auto"/>
          <w:kern w:val="2"/>
          <w:sz w:val="32"/>
          <w:szCs w:val="32"/>
          <w:lang w:val="en-US" w:eastAsia="zh-CN"/>
        </w:rPr>
        <w:t>（10）</w:t>
      </w:r>
      <w:r>
        <w:rPr>
          <w:rFonts w:hint="eastAsia" w:ascii="仿宋_GB2312" w:hAnsi="仿宋_GB2312" w:eastAsia="仿宋_GB2312" w:cs="仿宋_GB2312"/>
          <w:b w:val="0"/>
          <w:bCs w:val="0"/>
          <w:color w:val="auto"/>
          <w:kern w:val="2"/>
          <w:sz w:val="32"/>
          <w:szCs w:val="32"/>
        </w:rPr>
        <w:t>贯彻落实区委、</w:t>
      </w:r>
      <w:r>
        <w:rPr>
          <w:rFonts w:hint="eastAsia" w:ascii="仿宋_GB2312" w:hAnsi="仿宋_GB2312" w:eastAsia="仿宋_GB2312" w:cs="仿宋_GB2312"/>
          <w:b w:val="0"/>
          <w:bCs w:val="0"/>
          <w:color w:val="auto"/>
          <w:kern w:val="2"/>
          <w:sz w:val="32"/>
          <w:szCs w:val="32"/>
          <w:lang w:val="en-US" w:eastAsia="zh-CN"/>
        </w:rPr>
        <w:t>区</w:t>
      </w:r>
      <w:r>
        <w:rPr>
          <w:rFonts w:hint="eastAsia" w:ascii="仿宋_GB2312" w:hAnsi="仿宋_GB2312" w:eastAsia="仿宋_GB2312" w:cs="仿宋_GB2312"/>
          <w:b w:val="0"/>
          <w:bCs w:val="0"/>
          <w:color w:val="auto"/>
          <w:kern w:val="2"/>
          <w:sz w:val="32"/>
          <w:szCs w:val="32"/>
        </w:rPr>
        <w:t>政府的决定事项，及时向区委、</w:t>
      </w:r>
      <w:r>
        <w:rPr>
          <w:rFonts w:hint="eastAsia" w:ascii="仿宋_GB2312" w:hAnsi="仿宋_GB2312" w:eastAsia="仿宋_GB2312" w:cs="仿宋_GB2312"/>
          <w:b w:val="0"/>
          <w:bCs w:val="0"/>
          <w:color w:val="auto"/>
          <w:kern w:val="2"/>
          <w:sz w:val="32"/>
          <w:szCs w:val="32"/>
          <w:lang w:val="en-US" w:eastAsia="zh-CN"/>
        </w:rPr>
        <w:t>政</w:t>
      </w:r>
      <w:r>
        <w:rPr>
          <w:rFonts w:hint="eastAsia" w:ascii="仿宋_GB2312" w:hAnsi="仿宋_GB2312" w:eastAsia="仿宋_GB2312" w:cs="仿宋_GB2312"/>
          <w:b w:val="0"/>
          <w:bCs w:val="0"/>
          <w:color w:val="auto"/>
          <w:kern w:val="2"/>
          <w:sz w:val="32"/>
          <w:szCs w:val="32"/>
        </w:rPr>
        <w:t>府报告重要情况和提出建议。</w:t>
      </w:r>
      <w:bookmarkEnd w:id="101"/>
      <w:bookmarkEnd w:id="102"/>
      <w:bookmarkEnd w:id="103"/>
      <w:bookmarkEnd w:id="104"/>
      <w:bookmarkEnd w:id="105"/>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lang w:val="en-US" w:eastAsia="zh-CN"/>
        </w:rPr>
      </w:pPr>
      <w:r>
        <w:rPr>
          <w:rFonts w:hint="eastAsia" w:ascii="仿宋_GB2312" w:hAnsi="仿宋_GB2312" w:eastAsia="仿宋_GB2312" w:cs="仿宋_GB2312"/>
          <w:color w:val="auto"/>
          <w:kern w:val="2"/>
          <w:sz w:val="32"/>
          <w:szCs w:val="22"/>
          <w:lang w:val="en-US" w:eastAsia="zh-CN"/>
        </w:rPr>
        <w:t>3</w:t>
      </w:r>
      <w:r>
        <w:rPr>
          <w:rFonts w:hint="eastAsia" w:ascii="仿宋_GB2312" w:hAnsi="仿宋_GB2312" w:eastAsia="仿宋_GB2312" w:cs="仿宋_GB2312"/>
          <w:color w:val="auto"/>
          <w:kern w:val="2"/>
          <w:sz w:val="32"/>
          <w:szCs w:val="22"/>
        </w:rPr>
        <w:t>.1</w:t>
      </w:r>
      <w:r>
        <w:rPr>
          <w:rFonts w:hint="eastAsia" w:ascii="仿宋_GB2312" w:hAnsi="仿宋_GB2312" w:eastAsia="仿宋_GB2312" w:cs="仿宋_GB2312"/>
          <w:color w:val="auto"/>
          <w:kern w:val="2"/>
          <w:sz w:val="32"/>
          <w:szCs w:val="22"/>
          <w:lang w:val="en-US" w:eastAsia="zh-CN"/>
        </w:rPr>
        <w:t>.3</w:t>
      </w:r>
      <w:r>
        <w:rPr>
          <w:rFonts w:hint="eastAsia" w:ascii="仿宋_GB2312" w:hAnsi="仿宋_GB2312" w:eastAsia="仿宋_GB2312" w:cs="仿宋_GB2312"/>
          <w:color w:val="auto"/>
          <w:kern w:val="2"/>
          <w:sz w:val="32"/>
          <w:szCs w:val="22"/>
        </w:rPr>
        <w:t xml:space="preserve"> </w:t>
      </w:r>
      <w:r>
        <w:rPr>
          <w:rFonts w:hint="eastAsia" w:ascii="仿宋_GB2312" w:hAnsi="仿宋_GB2312" w:eastAsia="仿宋_GB2312" w:cs="仿宋_GB2312"/>
          <w:color w:val="auto"/>
          <w:kern w:val="2"/>
          <w:sz w:val="32"/>
          <w:szCs w:val="22"/>
          <w:lang w:val="en-US" w:eastAsia="zh-CN"/>
        </w:rPr>
        <w:t>区</w:t>
      </w:r>
      <w:r>
        <w:rPr>
          <w:rFonts w:hint="eastAsia" w:ascii="仿宋_GB2312" w:hAnsi="仿宋_GB2312" w:eastAsia="仿宋_GB2312" w:cs="仿宋_GB2312"/>
          <w:color w:val="auto"/>
          <w:kern w:val="2"/>
          <w:sz w:val="32"/>
          <w:szCs w:val="22"/>
        </w:rPr>
        <w:t>森林草原防灭火</w:t>
      </w:r>
      <w:r>
        <w:rPr>
          <w:rFonts w:hint="eastAsia" w:ascii="仿宋_GB2312" w:hAnsi="仿宋_GB2312" w:eastAsia="仿宋_GB2312" w:cs="仿宋_GB2312"/>
          <w:color w:val="auto"/>
          <w:kern w:val="2"/>
          <w:sz w:val="32"/>
          <w:szCs w:val="22"/>
          <w:lang w:val="en-US" w:eastAsia="zh-CN"/>
        </w:rPr>
        <w:t>指挥部办公室及职责</w:t>
      </w:r>
    </w:p>
    <w:p>
      <w:pPr>
        <w:keepNext w:val="0"/>
        <w:keepLines w:val="0"/>
        <w:pageBreakBefore w:val="0"/>
        <w:widowControl w:val="0"/>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lang w:val="en-US" w:eastAsia="zh-CN"/>
        </w:rPr>
        <w:t>区</w:t>
      </w:r>
      <w:r>
        <w:rPr>
          <w:rFonts w:hint="eastAsia" w:ascii="仿宋_GB2312" w:hAnsi="仿宋_GB2312" w:eastAsia="仿宋_GB2312" w:cs="仿宋_GB2312"/>
          <w:color w:val="auto"/>
          <w:kern w:val="2"/>
          <w:sz w:val="32"/>
          <w:szCs w:val="22"/>
        </w:rPr>
        <w:t>森林草原防灭火</w:t>
      </w:r>
      <w:r>
        <w:rPr>
          <w:rFonts w:hint="eastAsia" w:ascii="仿宋_GB2312" w:hAnsi="仿宋_GB2312" w:eastAsia="仿宋_GB2312" w:cs="仿宋_GB2312"/>
          <w:color w:val="auto"/>
          <w:kern w:val="2"/>
          <w:sz w:val="32"/>
          <w:szCs w:val="22"/>
          <w:lang w:val="en-US" w:eastAsia="zh-CN"/>
        </w:rPr>
        <w:t>指挥部办公室（以下简称“区森防指办公室”）</w:t>
      </w:r>
      <w:r>
        <w:rPr>
          <w:rFonts w:hint="eastAsia" w:ascii="仿宋_GB2312" w:hAnsi="仿宋_GB2312" w:eastAsia="仿宋_GB2312" w:cs="仿宋_GB2312"/>
          <w:bCs/>
          <w:color w:val="auto"/>
          <w:sz w:val="32"/>
          <w:szCs w:val="32"/>
        </w:rPr>
        <w:t>设在</w:t>
      </w:r>
      <w:r>
        <w:rPr>
          <w:rFonts w:hint="eastAsia" w:ascii="仿宋_GB2312" w:hAnsi="仿宋_GB2312" w:eastAsia="仿宋_GB2312" w:cs="仿宋_GB2312"/>
          <w:bCs/>
          <w:color w:val="auto"/>
          <w:sz w:val="32"/>
          <w:szCs w:val="32"/>
          <w:lang w:val="en-US" w:eastAsia="zh-CN"/>
        </w:rPr>
        <w:t>区</w:t>
      </w:r>
      <w:r>
        <w:rPr>
          <w:rFonts w:hint="eastAsia" w:ascii="仿宋_GB2312" w:hAnsi="仿宋_GB2312" w:eastAsia="仿宋_GB2312" w:cs="仿宋_GB2312"/>
          <w:bCs/>
          <w:color w:val="auto"/>
          <w:sz w:val="32"/>
          <w:szCs w:val="32"/>
        </w:rPr>
        <w:t>应急管理局，为</w:t>
      </w:r>
      <w:r>
        <w:rPr>
          <w:rFonts w:hint="eastAsia" w:ascii="仿宋_GB2312" w:hAnsi="仿宋_GB2312" w:eastAsia="仿宋_GB2312" w:cs="仿宋_GB2312"/>
          <w:bCs/>
          <w:color w:val="auto"/>
          <w:sz w:val="32"/>
          <w:szCs w:val="32"/>
          <w:lang w:val="en-US" w:eastAsia="zh-CN"/>
        </w:rPr>
        <w:t>区</w:t>
      </w:r>
      <w:r>
        <w:rPr>
          <w:rFonts w:hint="eastAsia" w:ascii="仿宋_GB2312" w:hAnsi="仿宋_GB2312" w:eastAsia="仿宋_GB2312" w:cs="仿宋_GB2312"/>
          <w:color w:val="auto"/>
          <w:kern w:val="2"/>
          <w:sz w:val="32"/>
          <w:szCs w:val="32"/>
        </w:rPr>
        <w:t>森林草原防灭火</w:t>
      </w:r>
      <w:r>
        <w:rPr>
          <w:rFonts w:hint="eastAsia" w:ascii="仿宋_GB2312" w:hAnsi="仿宋_GB2312" w:eastAsia="仿宋_GB2312" w:cs="仿宋_GB2312"/>
          <w:color w:val="auto"/>
          <w:kern w:val="2"/>
          <w:sz w:val="32"/>
          <w:szCs w:val="32"/>
          <w:lang w:val="en-US" w:eastAsia="zh-CN"/>
        </w:rPr>
        <w:t>指挥部</w:t>
      </w:r>
      <w:r>
        <w:rPr>
          <w:rFonts w:hint="eastAsia" w:ascii="仿宋_GB2312" w:hAnsi="仿宋_GB2312" w:eastAsia="仿宋_GB2312" w:cs="仿宋_GB2312"/>
          <w:bCs/>
          <w:color w:val="auto"/>
          <w:sz w:val="32"/>
          <w:szCs w:val="32"/>
        </w:rPr>
        <w:t>的日常办事机</w:t>
      </w:r>
      <w:r>
        <w:rPr>
          <w:rFonts w:hint="eastAsia" w:ascii="仿宋_GB2312" w:hAnsi="仿宋_GB2312" w:eastAsia="仿宋_GB2312" w:cs="仿宋_GB2312"/>
          <w:bCs/>
          <w:color w:val="auto"/>
          <w:sz w:val="32"/>
          <w:szCs w:val="32"/>
          <w:highlight w:val="none"/>
        </w:rPr>
        <w:t>构。办公室主任由</w:t>
      </w:r>
      <w:r>
        <w:rPr>
          <w:rFonts w:hint="eastAsia" w:ascii="仿宋_GB2312" w:hAnsi="仿宋_GB2312" w:eastAsia="仿宋_GB2312" w:cs="仿宋_GB2312"/>
          <w:bCs/>
          <w:color w:val="auto"/>
          <w:sz w:val="32"/>
          <w:szCs w:val="32"/>
          <w:highlight w:val="none"/>
          <w:lang w:val="en-US" w:eastAsia="zh-CN"/>
        </w:rPr>
        <w:t>应急管理局局长戚英同志</w:t>
      </w:r>
      <w:r>
        <w:rPr>
          <w:rFonts w:hint="eastAsia" w:ascii="仿宋_GB2312" w:hAnsi="仿宋_GB2312" w:eastAsia="仿宋_GB2312" w:cs="仿宋_GB2312"/>
          <w:bCs/>
          <w:color w:val="auto"/>
          <w:sz w:val="32"/>
          <w:szCs w:val="32"/>
          <w:highlight w:val="none"/>
        </w:rPr>
        <w:t>兼任</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副主任由</w:t>
      </w:r>
      <w:r>
        <w:rPr>
          <w:rFonts w:hint="eastAsia" w:ascii="仿宋_GB2312" w:hAnsi="仿宋_GB2312" w:eastAsia="仿宋_GB2312" w:cs="仿宋_GB2312"/>
          <w:bCs/>
          <w:color w:val="auto"/>
          <w:sz w:val="32"/>
          <w:szCs w:val="32"/>
          <w:highlight w:val="none"/>
          <w:lang w:val="en-US" w:eastAsia="zh-CN"/>
        </w:rPr>
        <w:t>李世珍</w:t>
      </w:r>
      <w:r>
        <w:rPr>
          <w:rFonts w:hint="eastAsia" w:ascii="仿宋_GB2312" w:hAnsi="仿宋_GB2312" w:eastAsia="仿宋_GB2312" w:cs="仿宋_GB2312"/>
          <w:color w:val="auto"/>
          <w:kern w:val="0"/>
          <w:sz w:val="32"/>
          <w:szCs w:val="32"/>
          <w:highlight w:val="none"/>
          <w:lang w:val="en-US" w:eastAsia="zh-CN" w:bidi="ar"/>
        </w:rPr>
        <w:t>同志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bidi="ar-SA"/>
        </w:rPr>
        <w:t>张计标</w:t>
      </w:r>
      <w:r>
        <w:rPr>
          <w:rFonts w:hint="eastAsia" w:ascii="仿宋_GB2312" w:hAnsi="仿宋_GB2312" w:eastAsia="仿宋_GB2312" w:cs="仿宋_GB2312"/>
          <w:bCs/>
          <w:color w:val="auto"/>
          <w:sz w:val="32"/>
          <w:szCs w:val="32"/>
          <w:highlight w:val="none"/>
          <w:lang w:val="en-US" w:eastAsia="zh-CN"/>
        </w:rPr>
        <w:t>同志</w:t>
      </w:r>
      <w:r>
        <w:rPr>
          <w:rFonts w:hint="eastAsia" w:ascii="仿宋_GB2312" w:hAnsi="仿宋_GB2312" w:eastAsia="仿宋_GB2312" w:cs="仿宋_GB2312"/>
          <w:bCs/>
          <w:color w:val="auto"/>
          <w:sz w:val="32"/>
          <w:szCs w:val="32"/>
          <w:highlight w:val="none"/>
        </w:rPr>
        <w:t>担任</w:t>
      </w:r>
      <w:r>
        <w:rPr>
          <w:rFonts w:hint="eastAsia" w:ascii="仿宋_GB2312" w:hAnsi="仿宋_GB2312" w:eastAsia="仿宋_GB2312" w:cs="仿宋_GB2312"/>
          <w:color w:val="auto"/>
          <w:kern w:val="2"/>
          <w:sz w:val="32"/>
          <w:szCs w:val="32"/>
          <w:highlight w:val="none"/>
          <w:lang w:val="en-US" w:eastAsia="zh-CN" w:bidi="ar-SA"/>
        </w:rPr>
        <w:t>。</w:t>
      </w:r>
    </w:p>
    <w:p>
      <w:pPr>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kern w:val="2"/>
          <w:sz w:val="32"/>
          <w:szCs w:val="22"/>
          <w:highlight w:val="none"/>
          <w:lang w:val="en-US" w:eastAsia="zh-CN" w:bidi="ar-SA"/>
        </w:rPr>
      </w:pPr>
      <w:r>
        <w:rPr>
          <w:rFonts w:hint="eastAsia" w:ascii="仿宋_GB2312" w:hAnsi="仿宋_GB2312" w:eastAsia="仿宋_GB2312" w:cs="仿宋_GB2312"/>
          <w:color w:val="auto"/>
          <w:kern w:val="2"/>
          <w:sz w:val="32"/>
          <w:szCs w:val="22"/>
          <w:highlight w:val="none"/>
          <w:lang w:val="en-US" w:eastAsia="zh-CN" w:bidi="ar-SA"/>
        </w:rPr>
        <w:t>主要职责</w:t>
      </w:r>
      <w:r>
        <w:rPr>
          <w:rFonts w:hint="eastAsia" w:ascii="仿宋" w:hAnsi="仿宋" w:eastAsia="仿宋" w:cs="仿宋"/>
          <w:color w:val="auto"/>
          <w:kern w:val="2"/>
          <w:sz w:val="32"/>
          <w:szCs w:val="22"/>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落实自治区、市森防指和区森防指的工作要求；</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分析本区森林草原防火形势，协调解决森林草原防灭火工作中的重要问题；</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综合汇总本区森林草原防灭火工作，承办区森防指会议、文件起草等工作；</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组织会商、研判森林草原火险信息和监测信息；</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负责本区森防指成员单位的日常协调联络等工作；</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承办区森防指交办的其他事项。</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22"/>
          <w:lang w:val="en-US" w:eastAsia="zh-CN"/>
        </w:rPr>
      </w:pPr>
      <w:r>
        <w:rPr>
          <w:rFonts w:hint="eastAsia" w:ascii="仿宋_GB2312" w:hAnsi="仿宋_GB2312" w:eastAsia="仿宋_GB2312" w:cs="仿宋_GB2312"/>
          <w:color w:val="auto"/>
          <w:kern w:val="2"/>
          <w:sz w:val="32"/>
          <w:szCs w:val="22"/>
          <w:lang w:val="en-US" w:eastAsia="zh-CN"/>
        </w:rPr>
        <w:t>3.1.4 成员单位及职责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bookmarkStart w:id="106" w:name="_Toc1344"/>
      <w:bookmarkStart w:id="107" w:name="_Toc24735"/>
      <w:bookmarkStart w:id="108" w:name="_Toc13095"/>
      <w:bookmarkStart w:id="109" w:name="_Toc12165"/>
      <w:bookmarkStart w:id="110" w:name="_Toc13243"/>
      <w:r>
        <w:rPr>
          <w:rFonts w:hint="eastAsia" w:ascii="仿宋_GB2312" w:hAnsi="仿宋_GB2312" w:eastAsia="仿宋_GB2312" w:cs="仿宋_GB2312"/>
          <w:color w:val="auto"/>
          <w:sz w:val="32"/>
          <w:szCs w:val="32"/>
          <w:lang w:val="en-US" w:eastAsia="zh-CN"/>
        </w:rPr>
        <w:t>区森防指成员单位主要包括：</w:t>
      </w:r>
      <w:r>
        <w:rPr>
          <w:rFonts w:hint="eastAsia" w:ascii="仿宋_GB2312" w:hAnsi="仿宋_GB2312" w:eastAsia="仿宋_GB2312" w:cs="仿宋_GB2312"/>
          <w:color w:val="auto"/>
          <w:sz w:val="32"/>
          <w:szCs w:val="32"/>
        </w:rPr>
        <w:t>区委宣传部、武装部、</w:t>
      </w:r>
      <w:r>
        <w:rPr>
          <w:rFonts w:hint="eastAsia" w:ascii="仿宋_GB2312" w:hAnsi="仿宋_GB2312" w:eastAsia="仿宋_GB2312" w:cs="仿宋_GB2312"/>
          <w:color w:val="auto"/>
          <w:sz w:val="32"/>
          <w:szCs w:val="32"/>
          <w:lang w:val="en-US" w:eastAsia="zh-CN"/>
        </w:rPr>
        <w:t>应急管理局</w:t>
      </w:r>
      <w:r>
        <w:rPr>
          <w:rFonts w:hint="eastAsia" w:ascii="仿宋_GB2312" w:hAnsi="仿宋_GB2312" w:eastAsia="仿宋_GB2312" w:cs="仿宋_GB2312"/>
          <w:color w:val="auto"/>
          <w:sz w:val="32"/>
          <w:szCs w:val="32"/>
        </w:rPr>
        <w:t>、民政局、</w:t>
      </w:r>
      <w:r>
        <w:rPr>
          <w:rFonts w:hint="eastAsia" w:ascii="仿宋_GB2312" w:hAnsi="仿宋_GB2312" w:eastAsia="仿宋_GB2312" w:cs="仿宋_GB2312"/>
          <w:color w:val="auto"/>
          <w:sz w:val="32"/>
          <w:szCs w:val="32"/>
          <w:lang w:eastAsia="zh-CN"/>
        </w:rPr>
        <w:t>发展和改革委员会</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公安分局</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"http://www.bjft.gov.cn/ftq/c100003pu/jgxxcontent.shtml" \t "http://www.bjft.gov.cn/ftq/c100003pu/_parent"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分局、</w:t>
      </w:r>
      <w:r>
        <w:rPr>
          <w:rFonts w:hint="eastAsia" w:ascii="仿宋_GB2312" w:hAnsi="仿宋_GB2312" w:eastAsia="仿宋_GB2312" w:cs="仿宋_GB2312"/>
          <w:color w:val="auto"/>
          <w:sz w:val="32"/>
          <w:szCs w:val="32"/>
          <w:lang w:val="en-US" w:eastAsia="zh-CN"/>
        </w:rPr>
        <w:t>住房和城乡建设局</w:t>
      </w:r>
      <w:r>
        <w:rPr>
          <w:rFonts w:hint="eastAsia" w:ascii="仿宋_GB2312" w:hAnsi="仿宋_GB2312" w:eastAsia="仿宋_GB2312" w:cs="仿宋_GB2312"/>
          <w:color w:val="auto"/>
          <w:sz w:val="32"/>
          <w:szCs w:val="32"/>
        </w:rPr>
        <w:t>、交管大队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工业和信息化局</w:t>
      </w:r>
      <w:r>
        <w:rPr>
          <w:rFonts w:hint="eastAsia" w:ascii="仿宋_GB2312" w:hAnsi="仿宋_GB2312" w:eastAsia="仿宋_GB2312" w:cs="仿宋_GB2312"/>
          <w:color w:val="auto"/>
          <w:sz w:val="32"/>
          <w:szCs w:val="32"/>
        </w:rPr>
        <w:t>、农牧水利局、</w:t>
      </w:r>
      <w:r>
        <w:rPr>
          <w:rFonts w:hint="eastAsia" w:ascii="仿宋_GB2312" w:hAnsi="仿宋_GB2312" w:eastAsia="仿宋_GB2312" w:cs="仿宋_GB2312"/>
          <w:color w:val="auto"/>
          <w:sz w:val="32"/>
          <w:szCs w:val="32"/>
          <w:lang w:val="en-US" w:eastAsia="zh-CN"/>
        </w:rPr>
        <w:t>林业和草原</w:t>
      </w:r>
      <w:r>
        <w:rPr>
          <w:rFonts w:hint="eastAsia" w:ascii="仿宋_GB2312" w:hAnsi="仿宋_GB2312" w:eastAsia="仿宋_GB2312" w:cs="仿宋_GB2312"/>
          <w:color w:val="auto"/>
          <w:sz w:val="32"/>
          <w:szCs w:val="32"/>
        </w:rPr>
        <w:t>分局、</w:t>
      </w:r>
      <w:r>
        <w:rPr>
          <w:rFonts w:hint="eastAsia" w:ascii="仿宋_GB2312" w:hAnsi="仿宋_GB2312" w:eastAsia="仿宋_GB2312" w:cs="仿宋_GB2312"/>
          <w:color w:val="auto"/>
          <w:sz w:val="32"/>
          <w:szCs w:val="32"/>
          <w:lang w:val="en-US" w:eastAsia="zh-CN"/>
        </w:rPr>
        <w:t>卫生健康委员会</w:t>
      </w:r>
      <w:r>
        <w:rPr>
          <w:rFonts w:hint="eastAsia" w:ascii="仿宋_GB2312" w:hAnsi="仿宋_GB2312" w:eastAsia="仿宋_GB2312" w:cs="仿宋_GB2312"/>
          <w:color w:val="auto"/>
          <w:sz w:val="32"/>
          <w:szCs w:val="32"/>
        </w:rPr>
        <w:t>、文体</w:t>
      </w:r>
      <w:r>
        <w:rPr>
          <w:rFonts w:hint="eastAsia" w:ascii="仿宋_GB2312" w:hAnsi="仿宋_GB2312" w:eastAsia="仿宋_GB2312" w:cs="仿宋_GB2312"/>
          <w:color w:val="auto"/>
          <w:sz w:val="32"/>
          <w:szCs w:val="32"/>
          <w:lang w:val="en-US" w:eastAsia="zh-CN"/>
        </w:rPr>
        <w:t>旅游</w:t>
      </w:r>
      <w:r>
        <w:rPr>
          <w:rFonts w:hint="eastAsia" w:ascii="仿宋_GB2312" w:hAnsi="仿宋_GB2312" w:eastAsia="仿宋_GB2312" w:cs="仿宋_GB2312"/>
          <w:color w:val="auto"/>
          <w:sz w:val="32"/>
          <w:szCs w:val="32"/>
        </w:rPr>
        <w:t>广电局、</w:t>
      </w:r>
      <w:r>
        <w:rPr>
          <w:rFonts w:hint="eastAsia" w:ascii="仿宋_GB2312" w:hAnsi="仿宋_GB2312" w:eastAsia="仿宋_GB2312" w:cs="仿宋_GB2312"/>
          <w:color w:val="auto"/>
          <w:sz w:val="32"/>
          <w:szCs w:val="32"/>
          <w:lang w:val="en-US" w:eastAsia="zh-CN"/>
        </w:rPr>
        <w:t>城市管理综合执法局、新城</w:t>
      </w:r>
      <w:r>
        <w:rPr>
          <w:rFonts w:hint="eastAsia" w:ascii="仿宋_GB2312" w:hAnsi="仿宋_GB2312" w:eastAsia="仿宋_GB2312" w:cs="仿宋_GB2312"/>
          <w:color w:val="auto"/>
          <w:sz w:val="32"/>
          <w:szCs w:val="32"/>
        </w:rPr>
        <w:t>供电分</w:t>
      </w:r>
      <w:r>
        <w:rPr>
          <w:rFonts w:hint="eastAsia" w:ascii="仿宋_GB2312" w:hAnsi="仿宋_GB2312" w:eastAsia="仿宋_GB2312" w:cs="仿宋_GB2312"/>
          <w:color w:val="auto"/>
          <w:sz w:val="32"/>
          <w:szCs w:val="32"/>
          <w:lang w:val="en-US" w:eastAsia="zh-CN"/>
        </w:rPr>
        <w:t>公司</w:t>
      </w:r>
      <w:r>
        <w:rPr>
          <w:rFonts w:hint="eastAsia" w:ascii="仿宋_GB2312" w:hAnsi="仿宋_GB2312" w:eastAsia="仿宋_GB2312" w:cs="仿宋_GB2312"/>
          <w:color w:val="auto"/>
          <w:sz w:val="32"/>
          <w:szCs w:val="32"/>
        </w:rPr>
        <w:t>、鸿盛供电分</w:t>
      </w:r>
      <w:r>
        <w:rPr>
          <w:rFonts w:hint="eastAsia" w:ascii="仿宋_GB2312" w:hAnsi="仿宋_GB2312" w:eastAsia="仿宋_GB2312" w:cs="仿宋_GB2312"/>
          <w:color w:val="auto"/>
          <w:sz w:val="32"/>
          <w:szCs w:val="32"/>
          <w:lang w:val="en-US" w:eastAsia="zh-CN"/>
        </w:rPr>
        <w:t>公司</w:t>
      </w:r>
      <w:r>
        <w:rPr>
          <w:rFonts w:hint="eastAsia" w:ascii="仿宋_GB2312" w:hAnsi="仿宋_GB2312" w:eastAsia="仿宋_GB2312" w:cs="仿宋_GB2312"/>
          <w:color w:val="auto"/>
          <w:sz w:val="32"/>
          <w:szCs w:val="32"/>
        </w:rPr>
        <w:t>、气象分局、消防救援大队、内蒙古森林消防总队特勤大队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乌素图国家森林公园建设养护中心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古路板管理站、</w:t>
      </w:r>
      <w:bookmarkEnd w:id="106"/>
      <w:bookmarkEnd w:id="107"/>
      <w:bookmarkEnd w:id="108"/>
      <w:bookmarkEnd w:id="109"/>
      <w:bookmarkEnd w:id="110"/>
      <w:r>
        <w:rPr>
          <w:rFonts w:hint="eastAsia" w:ascii="仿宋_GB2312" w:hAnsi="仿宋_GB2312" w:eastAsia="仿宋_GB2312" w:cs="仿宋_GB2312"/>
          <w:color w:val="auto"/>
          <w:kern w:val="2"/>
          <w:sz w:val="32"/>
          <w:szCs w:val="22"/>
          <w:lang w:val="en-US" w:eastAsia="zh-CN" w:bidi="ar-SA"/>
        </w:rPr>
        <w:t>保合少镇、成吉思汗街道办事处。</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宣传部</w:t>
      </w:r>
      <w:r>
        <w:rPr>
          <w:rFonts w:hint="eastAsia" w:ascii="仿宋_GB2312" w:hAnsi="仿宋_GB2312" w:eastAsia="仿宋_GB2312" w:cs="仿宋_GB2312"/>
          <w:color w:val="auto"/>
          <w:sz w:val="32"/>
          <w:szCs w:val="32"/>
        </w:rPr>
        <w:t>：负责组织新闻媒体做好森林草原防灭火宣传报道工作，负责森林草原火灾网络舆情监测应对处置工作；指导协调有关部门做好突发事件的信息发布和舆论引导工作。</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应急管理局：</w:t>
      </w:r>
      <w:r>
        <w:rPr>
          <w:rFonts w:hint="eastAsia" w:ascii="仿宋_GB2312" w:hAnsi="仿宋_GB2312" w:eastAsia="仿宋_GB2312" w:cs="仿宋_GB2312"/>
          <w:color w:val="auto"/>
          <w:sz w:val="32"/>
          <w:szCs w:val="32"/>
        </w:rPr>
        <w:t>负责组织开展森林草原火灾的处置工作，发生火情时调集专业扑火队，保证第一时间到达起火现场进行扑救，必要时协调</w:t>
      </w:r>
      <w:r>
        <w:rPr>
          <w:rFonts w:hint="eastAsia" w:ascii="仿宋_GB2312" w:hAnsi="仿宋_GB2312" w:eastAsia="仿宋_GB2312" w:cs="仿宋_GB2312"/>
          <w:color w:val="auto"/>
          <w:sz w:val="32"/>
          <w:szCs w:val="32"/>
          <w:lang w:val="en-US" w:eastAsia="zh-CN"/>
        </w:rPr>
        <w:t>消防救援队伍</w:t>
      </w:r>
      <w:r>
        <w:rPr>
          <w:rFonts w:hint="eastAsia" w:ascii="仿宋_GB2312" w:hAnsi="仿宋_GB2312" w:eastAsia="仿宋_GB2312" w:cs="仿宋_GB2312"/>
          <w:color w:val="auto"/>
          <w:sz w:val="32"/>
          <w:szCs w:val="32"/>
        </w:rPr>
        <w:t>参加火灾扑救工作；督促有关部门开展火灾查处、灾害救助、损失调查和评估灾后处置工作；负责综合指导各</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和相关部门的森林草原火灾防控工作，强化火灾防控监督管理，做好火灾扑救分级响应，防范化解重大风险；做好森林草原防火的宣传教育工作</w:t>
      </w:r>
      <w:r>
        <w:rPr>
          <w:rFonts w:hint="eastAsia" w:ascii="仿宋_GB2312" w:hAnsi="仿宋_GB2312" w:eastAsia="仿宋_GB2312" w:cs="仿宋_GB2312"/>
          <w:color w:val="auto"/>
          <w:kern w:val="2"/>
          <w:sz w:val="32"/>
          <w:szCs w:val="32"/>
        </w:rPr>
        <w:t>。</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林</w:t>
      </w:r>
      <w:r>
        <w:rPr>
          <w:rFonts w:hint="eastAsia" w:ascii="仿宋_GB2312" w:hAnsi="仿宋_GB2312" w:eastAsia="仿宋_GB2312" w:cs="仿宋_GB2312"/>
          <w:b/>
          <w:bCs/>
          <w:color w:val="auto"/>
          <w:sz w:val="32"/>
          <w:szCs w:val="32"/>
          <w:lang w:val="en-US" w:eastAsia="zh-CN"/>
        </w:rPr>
        <w:t>业和草原</w:t>
      </w:r>
      <w:r>
        <w:rPr>
          <w:rFonts w:hint="eastAsia" w:ascii="仿宋_GB2312" w:hAnsi="仿宋_GB2312" w:eastAsia="仿宋_GB2312" w:cs="仿宋_GB2312"/>
          <w:b/>
          <w:bCs/>
          <w:color w:val="auto"/>
          <w:sz w:val="32"/>
          <w:szCs w:val="32"/>
        </w:rPr>
        <w:t>分局：</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区开展防火巡护、火源管理，防火设施建设等工作，负责</w:t>
      </w:r>
      <w:r>
        <w:rPr>
          <w:rFonts w:hint="eastAsia" w:ascii="仿宋_GB2312" w:hAnsi="仿宋_GB2312" w:eastAsia="仿宋_GB2312" w:cs="仿宋_GB2312"/>
          <w:color w:val="auto"/>
          <w:sz w:val="32"/>
          <w:szCs w:val="32"/>
          <w:lang w:val="en-US" w:eastAsia="zh-CN"/>
        </w:rPr>
        <w:t>本区</w:t>
      </w:r>
      <w:r>
        <w:rPr>
          <w:rFonts w:hint="eastAsia" w:ascii="仿宋_GB2312" w:hAnsi="仿宋_GB2312" w:eastAsia="仿宋_GB2312" w:cs="仿宋_GB2312"/>
          <w:color w:val="auto"/>
          <w:sz w:val="32"/>
          <w:szCs w:val="32"/>
        </w:rPr>
        <w:t>森林草原防火的监督和管理，值班值守和监测预警，提出火灾扑救方案或建议；组织指导开展森林草原防火宣传教育、监测预警、督促检查等工作；指导国有林场和草原牧区专业森林草原扑火队伍建设；配合应急部门参与森林草原火灾扑救工作；组织编制森林草原火灾防治规划和防护标准并指导实施。</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气象分局</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及重点林区、生态工程区、草原、重点时段的气象监测，发布森林草原火险气象等级预报；提供火场气象服务，根据需要组织开展森林草原防火和火灾扑救的人工增雨作业；与应急、林草等部门积极开展火险监测研究会商，提供雷电灾害监测预警服务；开展森林草原火灾气象成因分析等。</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发展和改革委员会</w:t>
      </w:r>
      <w:r>
        <w:rPr>
          <w:rFonts w:hint="eastAsia" w:ascii="仿宋_GB2312" w:hAnsi="仿宋_GB2312" w:eastAsia="仿宋_GB2312" w:cs="仿宋_GB2312"/>
          <w:color w:val="auto"/>
          <w:sz w:val="32"/>
          <w:szCs w:val="32"/>
        </w:rPr>
        <w:t>：将森林草原火灾防治纳入国民经济和社会发展规划；安排</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区预算内投资的森林草原防灭火建设项目；协调地方做好森林草原火灾灾区粮食供应和相关物资保障等工作。</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教育局：</w:t>
      </w:r>
      <w:r>
        <w:rPr>
          <w:rFonts w:hint="eastAsia" w:ascii="仿宋_GB2312" w:hAnsi="仿宋_GB2312" w:eastAsia="仿宋_GB2312" w:cs="仿宋_GB2312"/>
          <w:color w:val="auto"/>
          <w:sz w:val="32"/>
          <w:szCs w:val="32"/>
        </w:rPr>
        <w:t>负责组织、指导</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区各类学校开展森林草原防灭火安全教育和管理工作，监督重点林区、农区的学校和教育单位落实森林草原防灭火安全责任和措施。</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工业和信息化局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负责做好森林草原防灭火专用频率保护性监测工作，保障通信安全畅通；发生森林草原火灾时，负责协调提供应急通信保障和利用公众信息网开展防灭火宣传教育活动；负责加强对</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区重要商品市场运行和供求形势的监控，协调防灭火救灾和在灾后恢复重建物资的组织、供应。</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公安分局</w:t>
      </w:r>
      <w:r>
        <w:rPr>
          <w:rFonts w:hint="eastAsia" w:ascii="仿宋_GB2312" w:hAnsi="仿宋_GB2312" w:eastAsia="仿宋_GB2312" w:cs="仿宋_GB2312"/>
          <w:color w:val="auto"/>
          <w:sz w:val="32"/>
          <w:szCs w:val="32"/>
        </w:rPr>
        <w:t>：加强沿山区域治安管理工作，积极配合各部门开展森林草原火灾的预防工作，负责火灾案件查处工作。负责维护火灾现场治安秩序，协助组织受灾群众紧急转移避险，依法查处制造、传播网络谣言等违法人员。</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民政局：</w:t>
      </w:r>
      <w:r>
        <w:rPr>
          <w:rFonts w:hint="eastAsia" w:ascii="仿宋_GB2312" w:hAnsi="仿宋_GB2312" w:eastAsia="仿宋_GB2312" w:cs="仿宋_GB2312"/>
          <w:color w:val="auto"/>
          <w:sz w:val="32"/>
          <w:szCs w:val="32"/>
        </w:rPr>
        <w:t>监督指导公益性墓地和集体墓地的森林草原防灭火工作，提倡文明祭祀；指导重点防火区域的迁坟、文明扫墓祭祀等，减少和排除森林草原火灾隐患；将因灾造成生存困难人员纳入救助保障范围。</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财政局：</w:t>
      </w:r>
      <w:r>
        <w:rPr>
          <w:rFonts w:hint="eastAsia" w:ascii="仿宋_GB2312" w:hAnsi="仿宋_GB2312" w:eastAsia="仿宋_GB2312" w:cs="仿宋_GB2312"/>
          <w:color w:val="auto"/>
          <w:sz w:val="32"/>
          <w:szCs w:val="32"/>
        </w:rPr>
        <w:t>负责将森林草原防灭火专项经费纳入本级财政预算，向上级财政申请有关森林草原防灭火补助经费；负责保障森林草原防灭火各项资金落实并及时拨付和监管工作。</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highlight w:val="yellow"/>
        </w:rPr>
      </w:pPr>
      <w:r>
        <w:rPr>
          <w:rFonts w:hint="eastAsia" w:ascii="仿宋_GB2312" w:hAnsi="仿宋_GB2312" w:eastAsia="仿宋_GB2312" w:cs="仿宋_GB2312"/>
          <w:b/>
          <w:bCs/>
          <w:color w:val="auto"/>
          <w:sz w:val="32"/>
          <w:szCs w:val="32"/>
        </w:rPr>
        <w:t>自然资源分局</w:t>
      </w:r>
      <w:r>
        <w:rPr>
          <w:rFonts w:hint="eastAsia" w:ascii="仿宋_GB2312" w:hAnsi="仿宋_GB2312" w:eastAsia="仿宋_GB2312" w:cs="仿宋_GB2312"/>
          <w:color w:val="auto"/>
          <w:sz w:val="32"/>
          <w:szCs w:val="32"/>
        </w:rPr>
        <w:t>：共享森林草原资源及地质基础信息，满足森林草原火灾扑救需要。</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住房和城乡建设</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负责支持森林草原防灭火重点项目及其配套设施建设审批申报工作；负责做好林区、生态工程区、草原周边及林区、生态工程区、草原内的建设工地的用火监督检查工作；负责灾后</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重建规划及保障受灾地区人员安置等工作。</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农牧水利局：</w:t>
      </w:r>
      <w:r>
        <w:rPr>
          <w:rFonts w:hint="eastAsia" w:ascii="仿宋_GB2312" w:hAnsi="仿宋_GB2312" w:eastAsia="仿宋_GB2312" w:cs="仿宋_GB2312"/>
          <w:color w:val="auto"/>
          <w:sz w:val="32"/>
          <w:szCs w:val="32"/>
        </w:rPr>
        <w:t>负责加强农区野外安全用火的宣传教育及监督管理等工作，提高农牧民防火意识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负责检查制止烧秸秆行为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负责协调保障森林草原火灾扑救人员和物资的紧急运输；协调执行扑火任务车辆公路通行事宜；组织协调因灾中断的道路及临时便道的抢修和道路修复畅通。</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文体</w:t>
      </w:r>
      <w:r>
        <w:rPr>
          <w:rFonts w:hint="eastAsia" w:ascii="仿宋_GB2312" w:hAnsi="仿宋_GB2312" w:eastAsia="仿宋_GB2312" w:cs="仿宋_GB2312"/>
          <w:b/>
          <w:bCs/>
          <w:color w:val="auto"/>
          <w:sz w:val="32"/>
          <w:szCs w:val="32"/>
          <w:lang w:val="en-US" w:eastAsia="zh-CN"/>
        </w:rPr>
        <w:t>旅游</w:t>
      </w:r>
      <w:r>
        <w:rPr>
          <w:rFonts w:hint="eastAsia" w:ascii="仿宋_GB2312" w:hAnsi="仿宋_GB2312" w:eastAsia="仿宋_GB2312" w:cs="仿宋_GB2312"/>
          <w:b/>
          <w:bCs/>
          <w:color w:val="auto"/>
          <w:sz w:val="32"/>
          <w:szCs w:val="32"/>
        </w:rPr>
        <w:t>广电局：</w:t>
      </w:r>
      <w:r>
        <w:rPr>
          <w:rFonts w:hint="eastAsia" w:ascii="仿宋_GB2312" w:hAnsi="仿宋_GB2312" w:eastAsia="仿宋_GB2312" w:cs="仿宋_GB2312"/>
          <w:color w:val="auto"/>
          <w:sz w:val="32"/>
          <w:szCs w:val="32"/>
        </w:rPr>
        <w:t>负责督促旅游景区做好森林草原防火宣传和防灭火措施工作落实，</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火灾应急预案并组织实施演练；对旅游景区森林草原防火工作进行监督检查；根据需要，协调做好旅游景区安全保卫和疏导等相关工作；</w:t>
      </w:r>
      <w:r>
        <w:rPr>
          <w:rFonts w:hint="eastAsia" w:ascii="仿宋_GB2312" w:hAnsi="仿宋_GB2312" w:eastAsia="仿宋_GB2312" w:cs="仿宋_GB2312"/>
          <w:bCs/>
          <w:color w:val="auto"/>
          <w:sz w:val="32"/>
          <w:szCs w:val="32"/>
        </w:rPr>
        <w:t>负责协助发布景区灾害预警信息，负责</w:t>
      </w:r>
      <w:r>
        <w:rPr>
          <w:rFonts w:hint="eastAsia" w:ascii="仿宋_GB2312" w:hAnsi="仿宋_GB2312" w:eastAsia="仿宋_GB2312" w:cs="仿宋_GB2312"/>
          <w:bCs/>
          <w:color w:val="auto"/>
          <w:sz w:val="32"/>
          <w:szCs w:val="32"/>
          <w:lang w:val="en-US" w:eastAsia="zh-CN"/>
        </w:rPr>
        <w:t>本</w:t>
      </w:r>
      <w:r>
        <w:rPr>
          <w:rFonts w:hint="eastAsia" w:ascii="仿宋_GB2312" w:hAnsi="仿宋_GB2312" w:eastAsia="仿宋_GB2312" w:cs="仿宋_GB2312"/>
          <w:bCs/>
          <w:color w:val="auto"/>
          <w:sz w:val="32"/>
          <w:szCs w:val="32"/>
        </w:rPr>
        <w:t>区旅游行业受灾情况统计报告，负责指导灾区广播、电视系统设施的应急抢修和恢复重建工作</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负责统计报告</w:t>
      </w:r>
      <w:r>
        <w:rPr>
          <w:rFonts w:hint="eastAsia" w:ascii="仿宋_GB2312" w:hAnsi="仿宋_GB2312" w:eastAsia="仿宋_GB2312" w:cs="仿宋_GB2312"/>
          <w:bCs/>
          <w:color w:val="auto"/>
          <w:sz w:val="32"/>
          <w:szCs w:val="32"/>
          <w:lang w:val="en-US" w:eastAsia="zh-CN"/>
        </w:rPr>
        <w:t>本</w:t>
      </w:r>
      <w:r>
        <w:rPr>
          <w:rFonts w:hint="eastAsia" w:ascii="仿宋_GB2312" w:hAnsi="仿宋_GB2312" w:eastAsia="仿宋_GB2312" w:cs="仿宋_GB2312"/>
          <w:bCs/>
          <w:color w:val="auto"/>
          <w:sz w:val="32"/>
          <w:szCs w:val="32"/>
        </w:rPr>
        <w:t>区广电领域受灾情况；</w:t>
      </w:r>
      <w:r>
        <w:rPr>
          <w:rFonts w:hint="eastAsia" w:ascii="仿宋_GB2312" w:hAnsi="仿宋_GB2312" w:eastAsia="仿宋_GB2312" w:cs="仿宋_GB2312"/>
          <w:color w:val="auto"/>
          <w:sz w:val="32"/>
          <w:szCs w:val="32"/>
        </w:rPr>
        <w:t>指导旅行社、导游、体育运动主办方对游客、体育活动参与者开展森林草原防灭火知识宣传教育。</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卫生健康委员会</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负责紧急医疗支援、卫生防疫、受伤人员的救治工作，调集救灾药品和医疗器械；指导</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区医院和乡镇卫生院制定森林草原火灾伤员的抢救预案，储备救灾必要的救护药品和医疗器械。</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新城供电分</w:t>
      </w:r>
      <w:r>
        <w:rPr>
          <w:rFonts w:hint="eastAsia" w:ascii="仿宋_GB2312" w:hAnsi="仿宋_GB2312" w:eastAsia="仿宋_GB2312" w:cs="仿宋_GB2312"/>
          <w:b/>
          <w:bCs/>
          <w:color w:val="auto"/>
          <w:sz w:val="32"/>
          <w:szCs w:val="32"/>
          <w:lang w:val="en-US" w:eastAsia="zh-CN"/>
        </w:rPr>
        <w:t>公司</w:t>
      </w:r>
      <w:r>
        <w:rPr>
          <w:rFonts w:hint="eastAsia" w:ascii="仿宋_GB2312" w:hAnsi="仿宋_GB2312" w:eastAsia="仿宋_GB2312" w:cs="仿宋_GB2312"/>
          <w:b/>
          <w:bCs/>
          <w:color w:val="auto"/>
          <w:sz w:val="32"/>
          <w:szCs w:val="32"/>
        </w:rPr>
        <w:t>和鸿盛供电分</w:t>
      </w:r>
      <w:r>
        <w:rPr>
          <w:rFonts w:hint="eastAsia" w:ascii="仿宋_GB2312" w:hAnsi="仿宋_GB2312" w:eastAsia="仿宋_GB2312" w:cs="仿宋_GB2312"/>
          <w:b/>
          <w:bCs/>
          <w:color w:val="auto"/>
          <w:sz w:val="32"/>
          <w:szCs w:val="32"/>
          <w:lang w:val="en-US" w:eastAsia="zh-CN"/>
        </w:rPr>
        <w:t>公司</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林区及重点防火地段的电力设施设备维修检修，防止电线短路打火引发森林草原火灾，遇特殊情况配合有关部门对特定区域进行断电作业，确保森林草原火灾隐患降到最低；负责做好森林草原火灾中可能引发的电路突发事件风险辨识与预防等工作。</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城市管理综合执法局：</w:t>
      </w:r>
      <w:r>
        <w:rPr>
          <w:rFonts w:hint="eastAsia" w:ascii="仿宋_GB2312" w:hAnsi="仿宋_GB2312" w:eastAsia="仿宋_GB2312" w:cs="仿宋_GB2312"/>
          <w:color w:val="auto"/>
          <w:sz w:val="32"/>
          <w:szCs w:val="32"/>
        </w:rPr>
        <w:t>负责组织指导城管队伍做好防扑火知识和技能训练工作，必要时组织调动城管队伍作为扑火梯队，积极参与森林草原火灾扑救工作。</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消防救援大队</w:t>
      </w:r>
      <w:r>
        <w:rPr>
          <w:rFonts w:hint="eastAsia" w:ascii="仿宋_GB2312" w:hAnsi="仿宋_GB2312" w:eastAsia="仿宋_GB2312" w:cs="仿宋_GB2312"/>
          <w:color w:val="auto"/>
          <w:sz w:val="32"/>
          <w:szCs w:val="32"/>
        </w:rPr>
        <w:t>：积极配合地方开展森林草原火灾的预防和扑救工作，协助地方开展消防知识和业务技能培训等。</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内蒙古森林消防总队特勤大队：</w:t>
      </w:r>
      <w:r>
        <w:rPr>
          <w:rStyle w:val="24"/>
          <w:rFonts w:hint="eastAsia" w:ascii="仿宋_GB2312" w:hAnsi="仿宋_GB2312" w:eastAsia="仿宋_GB2312" w:cs="仿宋_GB2312"/>
          <w:color w:val="auto"/>
          <w:sz w:val="32"/>
          <w:szCs w:val="32"/>
        </w:rPr>
        <w:t>负责科学规划森林消防队伍兵力配置和布防，配合地方组织开展森林草原防火宣传、巡护检查、野外火源管理等预防工作；负责组织、调动、指挥森林消防队伍执行森林草原火灾扑救工作，并参加火场联合指挥机构，协助做好火灾扑救等相关工作。</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古路板管理站：</w:t>
      </w:r>
      <w:r>
        <w:rPr>
          <w:rFonts w:hint="eastAsia" w:ascii="仿宋_GB2312" w:hAnsi="仿宋_GB2312" w:eastAsia="仿宋_GB2312" w:cs="仿宋_GB2312"/>
          <w:color w:val="auto"/>
          <w:sz w:val="32"/>
          <w:szCs w:val="32"/>
        </w:rPr>
        <w:t>按要求成立相应的森林草原防灭火指挥部及现场指挥机构，负责本辖区的森林草原火灾扑救工作，负责组织、协调处置本辖区内发生的森林草原火灾扑救工作。组织受火灾群众安全转移，做好受灾群众安抚及安置工作，组织人员看守火场，清理余火，防止“死灰复燃”；要设立专职防火工作人员和火情观察员，负责火情的报告。</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相邻</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之间要建立森林草原防灭火联防机制和制度，确定联防区域，实行信息共享。</w:t>
      </w:r>
    </w:p>
    <w:p>
      <w:pPr>
        <w:pageBreakBefore w:val="0"/>
        <w:widowControl w:val="0"/>
        <w:kinsoku/>
        <w:wordWrap/>
        <w:overflowPunct/>
        <w:topLinePunct w:val="0"/>
        <w:autoSpaceDE/>
        <w:autoSpaceDN/>
        <w:bidi w:val="0"/>
        <w:spacing w:line="36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保和少镇、成吉思汗大街街道办事处</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按要求成立相应的森林草原防灭火指挥部及现场指挥机构，负责本辖区的森林草原火灾扑救工作，负责组织、协调处置本辖区内发生的森林草原火灾扑救工作。组织受火灾群众安全转移，做好受灾群众安抚及安置工作，组织人员看守火场，清理余火，防止“死灰复燃”；要设立专职防火工作人员和火情观察员，负责火情的报告。相邻</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之间要建立森林草原防灭火联防机制和制度，确定联防区域，实行信息共享。</w:t>
      </w:r>
    </w:p>
    <w:p>
      <w:pPr>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各成员单位除承担上述职责外，还应根据区委、</w:t>
      </w:r>
      <w:r>
        <w:rPr>
          <w:rFonts w:hint="eastAsia" w:ascii="仿宋_GB2312" w:hAnsi="仿宋_GB2312" w:eastAsia="仿宋_GB2312" w:cs="仿宋_GB2312"/>
          <w:color w:val="auto"/>
          <w:sz w:val="32"/>
          <w:szCs w:val="32"/>
          <w:lang w:val="en-US" w:eastAsia="zh-CN"/>
        </w:rPr>
        <w:t>区人民</w:t>
      </w:r>
      <w:r>
        <w:rPr>
          <w:rFonts w:hint="eastAsia" w:ascii="仿宋_GB2312" w:hAnsi="仿宋_GB2312" w:eastAsia="仿宋_GB2312" w:cs="仿宋_GB2312"/>
          <w:color w:val="auto"/>
          <w:sz w:val="32"/>
          <w:szCs w:val="32"/>
        </w:rPr>
        <w:t>政府和</w:t>
      </w:r>
      <w:r>
        <w:rPr>
          <w:rFonts w:hint="eastAsia" w:ascii="仿宋_GB2312" w:hAnsi="仿宋_GB2312" w:eastAsia="仿宋_GB2312" w:cs="仿宋_GB2312"/>
          <w:color w:val="auto"/>
          <w:sz w:val="32"/>
          <w:szCs w:val="32"/>
          <w:lang w:val="en-US" w:eastAsia="zh-CN"/>
        </w:rPr>
        <w:t>区森防指</w:t>
      </w:r>
      <w:r>
        <w:rPr>
          <w:rFonts w:hint="eastAsia" w:ascii="仿宋_GB2312" w:hAnsi="仿宋_GB2312" w:eastAsia="仿宋_GB2312" w:cs="仿宋_GB2312"/>
          <w:color w:val="auto"/>
          <w:sz w:val="32"/>
          <w:szCs w:val="32"/>
        </w:rPr>
        <w:t>的要求，承担与其职责相关的其他工作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11" w:name="_Toc32664"/>
      <w:bookmarkStart w:id="112" w:name="_Toc14112"/>
      <w:bookmarkStart w:id="113" w:name="_Toc17418"/>
      <w:r>
        <w:rPr>
          <w:rFonts w:hint="eastAsia" w:ascii="黑体" w:eastAsia="黑体"/>
          <w:bCs/>
          <w:color w:val="auto"/>
          <w:kern w:val="44"/>
          <w:sz w:val="32"/>
          <w:szCs w:val="44"/>
          <w:lang w:val="en-US" w:eastAsia="zh-CN"/>
        </w:rPr>
        <w:t>3.2 扑火指挥</w:t>
      </w:r>
      <w:bookmarkEnd w:id="111"/>
      <w:bookmarkEnd w:id="112"/>
      <w:bookmarkEnd w:id="113"/>
    </w:p>
    <w:p>
      <w:pPr>
        <w:pageBreakBefore w:val="0"/>
        <w:widowControl w:val="0"/>
        <w:kinsoku/>
        <w:wordWrap/>
        <w:overflowPunct/>
        <w:topLinePunct w:val="0"/>
        <w:autoSpaceDE/>
        <w:autoSpaceDN/>
        <w:bidi w:val="0"/>
        <w:spacing w:line="360" w:lineRule="auto"/>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根据森林草原火灾燃烧部位、蔓延速度、受害部位和程度，初步判断火情；先期处置由火灾发生地保和少镇、</w:t>
      </w:r>
      <w:r>
        <w:rPr>
          <w:rFonts w:hint="eastAsia" w:ascii="宋体" w:hAnsi="宋体" w:eastAsia="仿宋_GB2312"/>
          <w:color w:val="auto"/>
          <w:sz w:val="32"/>
          <w:szCs w:val="32"/>
          <w:lang w:val="en-US" w:eastAsia="zh-CN"/>
        </w:rPr>
        <w:t>成吉思汗街道办事处</w:t>
      </w:r>
      <w:r>
        <w:rPr>
          <w:rFonts w:hint="eastAsia" w:ascii="宋体" w:hAnsi="宋体" w:eastAsia="仿宋_GB2312"/>
          <w:color w:val="auto"/>
          <w:sz w:val="32"/>
          <w:szCs w:val="32"/>
        </w:rPr>
        <w:t>和</w:t>
      </w:r>
      <w:r>
        <w:rPr>
          <w:rFonts w:hint="eastAsia" w:ascii="宋体" w:hAnsi="宋体" w:eastAsia="仿宋_GB2312"/>
          <w:color w:val="auto"/>
          <w:sz w:val="32"/>
          <w:szCs w:val="32"/>
          <w:lang w:val="en-US" w:eastAsia="zh-CN"/>
        </w:rPr>
        <w:t>古路板管理站</w:t>
      </w:r>
      <w:r>
        <w:rPr>
          <w:rFonts w:hint="eastAsia" w:ascii="宋体" w:hAnsi="宋体" w:eastAsia="仿宋_GB2312"/>
          <w:color w:val="auto"/>
          <w:sz w:val="32"/>
          <w:szCs w:val="32"/>
        </w:rPr>
        <w:t>负责组织灭火，符合本预案启动条件的森林草原火灾，由区森防指按照规定统一负责指挥。各级森林草原防灭火指挥</w:t>
      </w:r>
      <w:r>
        <w:rPr>
          <w:rFonts w:hint="eastAsia" w:ascii="宋体" w:hAnsi="宋体" w:eastAsia="仿宋_GB2312"/>
          <w:color w:val="auto"/>
          <w:sz w:val="32"/>
          <w:szCs w:val="32"/>
          <w:lang w:val="en-US" w:eastAsia="zh-CN"/>
        </w:rPr>
        <w:t>部</w:t>
      </w:r>
      <w:r>
        <w:rPr>
          <w:rFonts w:hint="eastAsia" w:ascii="宋体" w:hAnsi="宋体" w:eastAsia="仿宋_GB2312"/>
          <w:color w:val="auto"/>
          <w:sz w:val="32"/>
          <w:szCs w:val="32"/>
        </w:rPr>
        <w:t>根据火场实际，在森林草原火灾现场成立前线指挥部。参加前方扑火的单位和个人要服从前线指挥部的统一指挥。</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eastAsia="仿宋_GB2312" w:cstheme="minorBidi"/>
          <w:color w:val="auto"/>
          <w:kern w:val="2"/>
          <w:sz w:val="32"/>
          <w:szCs w:val="22"/>
        </w:rPr>
      </w:pPr>
      <w:r>
        <w:rPr>
          <w:rFonts w:hint="eastAsia" w:ascii="宋体" w:hAnsi="宋体" w:eastAsia="仿宋_GB2312"/>
          <w:color w:val="auto"/>
          <w:sz w:val="32"/>
          <w:szCs w:val="32"/>
        </w:rPr>
        <w:t>部队和民兵执行森林火灾扑救任务，依照军队有关规定执行，由军队根据前线指挥部制定的扑救方案负责指挥具体行动。森林火灾扑救过程中，均应制定应急避险预案，明确撤离路线和示警信号，一旦遭遇险情，及时启动应急避险预案，迅速、高效、安全实施紧急避险和营救行动；</w:t>
      </w:r>
      <w:r>
        <w:rPr>
          <w:rFonts w:hint="eastAsia" w:eastAsia="仿宋_GB2312" w:cstheme="minorBidi"/>
          <w:color w:val="auto"/>
          <w:kern w:val="2"/>
          <w:sz w:val="32"/>
          <w:szCs w:val="22"/>
        </w:rPr>
        <w:t>军队执行森林草原火灾扑救任务，依照《军队参加抢险救灾条例》的有关规定执行。</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宋体" w:hAnsi="宋体" w:eastAsia="仿宋_GB2312"/>
          <w:color w:val="auto"/>
          <w:sz w:val="32"/>
          <w:szCs w:val="32"/>
          <w:highlight w:val="none"/>
          <w:lang w:eastAsia="zh-CN"/>
        </w:rPr>
      </w:pPr>
      <w:r>
        <w:rPr>
          <w:rFonts w:hint="eastAsia" w:ascii="宋体" w:hAnsi="宋体" w:eastAsia="仿宋_GB2312"/>
          <w:color w:val="auto"/>
          <w:sz w:val="32"/>
          <w:szCs w:val="32"/>
          <w:highlight w:val="none"/>
        </w:rPr>
        <w:t>新城区内跨行政区域的</w:t>
      </w:r>
      <w:r>
        <w:rPr>
          <w:rFonts w:hint="eastAsia" w:ascii="宋体" w:hAnsi="宋体" w:eastAsia="仿宋_GB2312"/>
          <w:color w:val="auto"/>
          <w:sz w:val="32"/>
          <w:szCs w:val="32"/>
          <w:highlight w:val="none"/>
          <w:lang w:val="en-US" w:eastAsia="zh-CN"/>
        </w:rPr>
        <w:t>一般</w:t>
      </w:r>
      <w:r>
        <w:rPr>
          <w:rFonts w:hint="eastAsia" w:ascii="宋体" w:hAnsi="宋体" w:eastAsia="仿宋_GB2312"/>
          <w:color w:val="auto"/>
          <w:sz w:val="32"/>
          <w:szCs w:val="32"/>
          <w:highlight w:val="none"/>
        </w:rPr>
        <w:t>以上森林火灾，</w:t>
      </w:r>
      <w:r>
        <w:rPr>
          <w:rFonts w:hint="eastAsia" w:ascii="宋体" w:hAnsi="宋体" w:eastAsia="仿宋_GB2312"/>
          <w:color w:val="auto"/>
          <w:sz w:val="32"/>
          <w:szCs w:val="32"/>
          <w:highlight w:val="none"/>
          <w:lang w:val="en-US" w:eastAsia="zh-CN"/>
        </w:rPr>
        <w:t>及时报告区森防指</w:t>
      </w:r>
      <w:r>
        <w:rPr>
          <w:rFonts w:hint="eastAsia" w:ascii="宋体" w:hAnsi="宋体" w:eastAsia="仿宋_GB2312"/>
          <w:color w:val="auto"/>
          <w:sz w:val="32"/>
          <w:szCs w:val="32"/>
          <w:highlight w:val="none"/>
          <w:lang w:eastAsia="zh-CN"/>
        </w:rPr>
        <w:t>，</w:t>
      </w:r>
      <w:r>
        <w:rPr>
          <w:rFonts w:hint="eastAsia" w:ascii="宋体" w:hAnsi="宋体" w:eastAsia="仿宋_GB2312"/>
          <w:color w:val="auto"/>
          <w:sz w:val="32"/>
          <w:szCs w:val="32"/>
          <w:highlight w:val="none"/>
          <w:lang w:val="en-US" w:eastAsia="zh-CN"/>
        </w:rPr>
        <w:t>由区森防指</w:t>
      </w:r>
      <w:r>
        <w:rPr>
          <w:rFonts w:hint="eastAsia" w:ascii="宋体" w:hAnsi="宋体" w:eastAsia="仿宋_GB2312"/>
          <w:color w:val="auto"/>
          <w:sz w:val="32"/>
          <w:szCs w:val="32"/>
          <w:highlight w:val="none"/>
        </w:rPr>
        <w:t>协调各方实施</w:t>
      </w:r>
      <w:r>
        <w:rPr>
          <w:rFonts w:hint="eastAsia" w:ascii="宋体" w:hAnsi="宋体" w:eastAsia="仿宋_GB2312"/>
          <w:color w:val="auto"/>
          <w:sz w:val="32"/>
          <w:szCs w:val="32"/>
          <w:highlight w:val="none"/>
          <w:lang w:val="en-US" w:eastAsia="zh-CN"/>
        </w:rPr>
        <w:t>扑火行动</w:t>
      </w:r>
      <w:r>
        <w:rPr>
          <w:rFonts w:hint="eastAsia" w:ascii="宋体" w:hAnsi="宋体" w:eastAsia="仿宋_GB2312"/>
          <w:color w:val="auto"/>
          <w:sz w:val="32"/>
          <w:szCs w:val="32"/>
          <w:highlight w:val="none"/>
          <w:lang w:eastAsia="zh-CN"/>
        </w:rPr>
        <w:t>；</w:t>
      </w:r>
      <w:r>
        <w:rPr>
          <w:rFonts w:hint="eastAsia" w:ascii="宋体" w:hAnsi="宋体" w:eastAsia="仿宋_GB2312"/>
          <w:color w:val="auto"/>
          <w:sz w:val="32"/>
          <w:szCs w:val="32"/>
          <w:highlight w:val="none"/>
        </w:rPr>
        <w:t>区森防指办公室要及时与保和少镇、</w:t>
      </w:r>
      <w:r>
        <w:rPr>
          <w:rFonts w:hint="eastAsia" w:ascii="宋体" w:hAnsi="宋体" w:eastAsia="仿宋_GB2312"/>
          <w:color w:val="auto"/>
          <w:sz w:val="32"/>
          <w:szCs w:val="32"/>
          <w:highlight w:val="none"/>
          <w:lang w:eastAsia="zh-CN"/>
        </w:rPr>
        <w:t>成吉思汗大街街道办事处、</w:t>
      </w:r>
      <w:r>
        <w:rPr>
          <w:rFonts w:hint="eastAsia" w:ascii="宋体" w:hAnsi="宋体" w:eastAsia="仿宋_GB2312"/>
          <w:color w:val="auto"/>
          <w:sz w:val="32"/>
          <w:szCs w:val="32"/>
          <w:lang w:eastAsia="zh-CN"/>
        </w:rPr>
        <w:t>古路板管理站</w:t>
      </w:r>
      <w:r>
        <w:rPr>
          <w:rFonts w:hint="eastAsia" w:ascii="宋体" w:hAnsi="宋体" w:eastAsia="仿宋_GB2312"/>
          <w:color w:val="auto"/>
          <w:sz w:val="32"/>
          <w:szCs w:val="32"/>
          <w:highlight w:val="none"/>
        </w:rPr>
        <w:t>和森林草原管理单位联系，沟通信息，协调处置森林草原火灾扑救工作。跨盟市界、旗县界的较大、重大、特别重大森林草原火灾扑救工作，由</w:t>
      </w:r>
      <w:r>
        <w:rPr>
          <w:rFonts w:hint="eastAsia" w:ascii="宋体" w:hAnsi="宋体" w:eastAsia="仿宋_GB2312"/>
          <w:color w:val="auto"/>
          <w:sz w:val="32"/>
          <w:szCs w:val="32"/>
          <w:highlight w:val="none"/>
          <w:lang w:val="en-US" w:eastAsia="zh-CN"/>
        </w:rPr>
        <w:t>市</w:t>
      </w:r>
      <w:r>
        <w:rPr>
          <w:rFonts w:hint="eastAsia" w:ascii="宋体" w:hAnsi="宋体" w:eastAsia="仿宋_GB2312"/>
          <w:color w:val="auto"/>
          <w:sz w:val="32"/>
          <w:szCs w:val="32"/>
          <w:highlight w:val="none"/>
        </w:rPr>
        <w:t>森林草原防灭火指挥部统一协调指挥</w:t>
      </w:r>
      <w:r>
        <w:rPr>
          <w:rFonts w:hint="eastAsia" w:ascii="宋体" w:hAnsi="宋体"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color w:val="auto"/>
          <w:highlight w:val="none"/>
          <w:lang w:eastAsia="zh-CN"/>
        </w:rPr>
      </w:pPr>
      <w:bookmarkStart w:id="114" w:name="_Toc21331"/>
      <w:r>
        <w:rPr>
          <w:rFonts w:hint="eastAsia" w:ascii="黑体" w:eastAsia="黑体"/>
          <w:bCs/>
          <w:color w:val="auto"/>
          <w:kern w:val="44"/>
          <w:sz w:val="32"/>
          <w:szCs w:val="44"/>
          <w:highlight w:val="none"/>
          <w:lang w:val="en-US" w:eastAsia="zh-CN"/>
        </w:rPr>
        <w:t>3.3 应急处置工作组</w:t>
      </w:r>
      <w:bookmarkEnd w:id="114"/>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森防指根据需要设立火场前线指挥部，下设相应的工作组。各工作组组成及任务分工如下：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综合协调组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应急</w:t>
      </w:r>
      <w:r>
        <w:rPr>
          <w:rFonts w:hint="eastAsia" w:ascii="仿宋_GB2312" w:hAnsi="仿宋_GB2312" w:eastAsia="仿宋_GB2312" w:cs="仿宋_GB2312"/>
          <w:color w:val="auto"/>
          <w:kern w:val="0"/>
          <w:sz w:val="32"/>
          <w:szCs w:val="32"/>
          <w:lang w:val="en-US" w:eastAsia="zh-CN"/>
        </w:rPr>
        <w:t>管理</w:t>
      </w:r>
      <w:r>
        <w:rPr>
          <w:rFonts w:hint="eastAsia" w:ascii="仿宋_GB2312" w:hAnsi="仿宋_GB2312" w:eastAsia="仿宋_GB2312" w:cs="仿宋_GB2312"/>
          <w:color w:val="auto"/>
          <w:kern w:val="0"/>
          <w:sz w:val="32"/>
          <w:szCs w:val="32"/>
        </w:rPr>
        <w:t>局牵头，</w:t>
      </w:r>
      <w:r>
        <w:rPr>
          <w:rFonts w:hint="eastAsia" w:ascii="仿宋_GB2312" w:hAnsi="Times New Roman" w:eastAsia="仿宋_GB2312" w:cs="仿宋_GB2312"/>
          <w:i w:val="0"/>
          <w:iCs w:val="0"/>
          <w:caps w:val="0"/>
          <w:color w:val="auto"/>
          <w:spacing w:val="0"/>
          <w:sz w:val="32"/>
          <w:szCs w:val="32"/>
          <w:lang w:eastAsia="zh-CN"/>
        </w:rPr>
        <w:t>发展和改革委员会</w:t>
      </w:r>
      <w:r>
        <w:rPr>
          <w:rFonts w:hint="eastAsia" w:ascii="仿宋_GB2312" w:hAnsi="Times New Roman" w:eastAsia="仿宋_GB2312" w:cs="仿宋_GB2312"/>
          <w:i w:val="0"/>
          <w:iCs w:val="0"/>
          <w:caps w:val="0"/>
          <w:color w:val="auto"/>
          <w:spacing w:val="0"/>
          <w:sz w:val="32"/>
          <w:szCs w:val="32"/>
        </w:rPr>
        <w:t>、</w:t>
      </w:r>
      <w:r>
        <w:rPr>
          <w:rFonts w:hint="eastAsia" w:ascii="仿宋_GB2312" w:hAnsi="Times New Roman" w:eastAsia="仿宋_GB2312" w:cs="仿宋_GB2312"/>
          <w:i w:val="0"/>
          <w:iCs w:val="0"/>
          <w:caps w:val="0"/>
          <w:color w:val="auto"/>
          <w:spacing w:val="0"/>
          <w:sz w:val="32"/>
          <w:szCs w:val="32"/>
          <w:lang w:val="en-US" w:eastAsia="zh-CN"/>
        </w:rPr>
        <w:t>工业和信息化局</w:t>
      </w:r>
      <w:r>
        <w:rPr>
          <w:rFonts w:hint="eastAsia" w:ascii="仿宋_GB2312" w:hAnsi="Times New Roman" w:eastAsia="仿宋_GB2312" w:cs="仿宋_GB2312"/>
          <w:i w:val="0"/>
          <w:iCs w:val="0"/>
          <w:caps w:val="0"/>
          <w:color w:val="auto"/>
          <w:spacing w:val="0"/>
          <w:sz w:val="32"/>
          <w:szCs w:val="32"/>
        </w:rPr>
        <w:t>、</w:t>
      </w:r>
      <w:r>
        <w:rPr>
          <w:rFonts w:hint="eastAsia" w:ascii="仿宋_GB2312" w:hAnsi="Times New Roman" w:eastAsia="仿宋_GB2312" w:cs="仿宋_GB2312"/>
          <w:i w:val="0"/>
          <w:iCs w:val="0"/>
          <w:caps w:val="0"/>
          <w:color w:val="auto"/>
          <w:spacing w:val="0"/>
          <w:sz w:val="32"/>
          <w:szCs w:val="32"/>
          <w:lang w:eastAsia="zh-CN"/>
        </w:rPr>
        <w:t>公安分局</w:t>
      </w:r>
      <w:r>
        <w:rPr>
          <w:rFonts w:hint="eastAsia" w:ascii="仿宋_GB2312" w:hAnsi="Times New Roman" w:eastAsia="仿宋_GB2312" w:cs="仿宋_GB2312"/>
          <w:i w:val="0"/>
          <w:iCs w:val="0"/>
          <w:caps w:val="0"/>
          <w:color w:val="auto"/>
          <w:spacing w:val="0"/>
          <w:sz w:val="32"/>
          <w:szCs w:val="32"/>
        </w:rPr>
        <w:t>、</w:t>
      </w:r>
      <w:r>
        <w:rPr>
          <w:rFonts w:hint="eastAsia" w:ascii="仿宋_GB2312" w:hAnsi="Times New Roman" w:eastAsia="仿宋_GB2312" w:cs="仿宋_GB2312"/>
          <w:i w:val="0"/>
          <w:iCs w:val="0"/>
          <w:caps w:val="0"/>
          <w:color w:val="auto"/>
          <w:spacing w:val="0"/>
          <w:sz w:val="32"/>
          <w:szCs w:val="32"/>
          <w:lang w:val="en-US" w:eastAsia="zh-CN"/>
        </w:rPr>
        <w:t>林业和草原分局</w:t>
      </w:r>
      <w:r>
        <w:rPr>
          <w:rFonts w:hint="eastAsia" w:ascii="仿宋_GB2312" w:hAnsi="Times New Roman" w:eastAsia="仿宋_GB2312" w:cs="仿宋_GB2312"/>
          <w:i w:val="0"/>
          <w:iCs w:val="0"/>
          <w:caps w:val="0"/>
          <w:color w:val="auto"/>
          <w:spacing w:val="0"/>
          <w:sz w:val="32"/>
          <w:szCs w:val="32"/>
        </w:rPr>
        <w:t>、气象</w:t>
      </w:r>
      <w:r>
        <w:rPr>
          <w:rFonts w:hint="eastAsia" w:ascii="仿宋_GB2312" w:hAnsi="Times New Roman" w:eastAsia="仿宋_GB2312" w:cs="仿宋_GB2312"/>
          <w:i w:val="0"/>
          <w:iCs w:val="0"/>
          <w:caps w:val="0"/>
          <w:color w:val="auto"/>
          <w:spacing w:val="0"/>
          <w:sz w:val="32"/>
          <w:szCs w:val="32"/>
          <w:lang w:val="en-US" w:eastAsia="zh-CN"/>
        </w:rPr>
        <w:t>分</w:t>
      </w:r>
      <w:r>
        <w:rPr>
          <w:rFonts w:hint="eastAsia" w:ascii="仿宋_GB2312" w:hAnsi="Times New Roman" w:eastAsia="仿宋_GB2312" w:cs="仿宋_GB2312"/>
          <w:i w:val="0"/>
          <w:iCs w:val="0"/>
          <w:caps w:val="0"/>
          <w:color w:val="auto"/>
          <w:spacing w:val="0"/>
          <w:sz w:val="32"/>
          <w:szCs w:val="32"/>
        </w:rPr>
        <w:t>局、消防救援大队、</w:t>
      </w:r>
      <w:r>
        <w:rPr>
          <w:rFonts w:hint="eastAsia" w:ascii="仿宋_GB2312" w:hAnsi="Times New Roman" w:eastAsia="仿宋_GB2312" w:cs="仿宋_GB2312"/>
          <w:i w:val="0"/>
          <w:iCs w:val="0"/>
          <w:caps w:val="0"/>
          <w:color w:val="auto"/>
          <w:spacing w:val="0"/>
          <w:sz w:val="32"/>
          <w:szCs w:val="32"/>
          <w:lang w:val="en-US" w:eastAsia="zh-CN"/>
        </w:rPr>
        <w:t>武装</w:t>
      </w:r>
      <w:r>
        <w:rPr>
          <w:rFonts w:hint="eastAsia" w:ascii="仿宋_GB2312" w:hAnsi="Times New Roman" w:eastAsia="仿宋_GB2312" w:cs="仿宋_GB2312"/>
          <w:i w:val="0"/>
          <w:iCs w:val="0"/>
          <w:caps w:val="0"/>
          <w:color w:val="auto"/>
          <w:spacing w:val="0"/>
          <w:sz w:val="32"/>
          <w:szCs w:val="32"/>
        </w:rPr>
        <w:t>部等相关部门和单位参加。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主要职责：传达贯彻区委、</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政府指示；密切跟踪汇总森林草原火情和扑救进展，及时向区委、</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政府报告，并通报</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森防指各成员单位；综合协调内部日常事务，督办重要工作。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抢险救援组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由</w:t>
      </w:r>
      <w:r>
        <w:rPr>
          <w:rFonts w:hint="eastAsia" w:ascii="仿宋_GB2312" w:hAnsi="仿宋_GB2312" w:eastAsia="仿宋_GB2312" w:cs="仿宋_GB2312"/>
          <w:color w:val="auto"/>
          <w:kern w:val="0"/>
          <w:sz w:val="32"/>
          <w:szCs w:val="32"/>
          <w:highlight w:val="none"/>
          <w:lang w:val="en-US" w:eastAsia="zh-CN"/>
        </w:rPr>
        <w:t>区</w:t>
      </w:r>
      <w:r>
        <w:rPr>
          <w:rFonts w:hint="eastAsia" w:ascii="仿宋_GB2312" w:hAnsi="仿宋_GB2312" w:eastAsia="仿宋_GB2312" w:cs="仿宋_GB2312"/>
          <w:color w:val="auto"/>
          <w:kern w:val="0"/>
          <w:sz w:val="32"/>
          <w:szCs w:val="32"/>
          <w:highlight w:val="none"/>
          <w:lang w:eastAsia="zh-CN"/>
        </w:rPr>
        <w:t>应急管理局</w:t>
      </w:r>
      <w:r>
        <w:rPr>
          <w:rFonts w:hint="eastAsia" w:ascii="仿宋_GB2312" w:hAnsi="仿宋_GB2312" w:eastAsia="仿宋_GB2312" w:cs="仿宋_GB2312"/>
          <w:color w:val="auto"/>
          <w:kern w:val="0"/>
          <w:sz w:val="32"/>
          <w:szCs w:val="32"/>
          <w:highlight w:val="none"/>
        </w:rPr>
        <w:t>牵头，消防救援</w:t>
      </w:r>
      <w:r>
        <w:rPr>
          <w:rFonts w:hint="eastAsia" w:ascii="仿宋_GB2312" w:hAnsi="仿宋_GB2312" w:eastAsia="仿宋_GB2312" w:cs="仿宋_GB2312"/>
          <w:color w:val="auto"/>
          <w:kern w:val="0"/>
          <w:sz w:val="32"/>
          <w:szCs w:val="32"/>
          <w:highlight w:val="none"/>
          <w:lang w:val="en-US" w:eastAsia="zh-CN"/>
        </w:rPr>
        <w:t>大</w:t>
      </w:r>
      <w:r>
        <w:rPr>
          <w:rFonts w:hint="eastAsia" w:ascii="仿宋_GB2312" w:hAnsi="仿宋_GB2312" w:eastAsia="仿宋_GB2312" w:cs="仿宋_GB2312"/>
          <w:color w:val="auto"/>
          <w:kern w:val="0"/>
          <w:sz w:val="32"/>
          <w:szCs w:val="32"/>
          <w:highlight w:val="none"/>
        </w:rPr>
        <w:t>队</w:t>
      </w:r>
      <w:r>
        <w:rPr>
          <w:rFonts w:hint="eastAsia" w:ascii="仿宋_GB2312" w:hAnsi="仿宋_GB2312" w:eastAsia="仿宋_GB2312" w:cs="仿宋_GB2312"/>
          <w:color w:val="auto"/>
          <w:kern w:val="0"/>
          <w:sz w:val="32"/>
          <w:szCs w:val="32"/>
          <w:highlight w:val="none"/>
          <w:lang w:eastAsia="zh-CN"/>
        </w:rPr>
        <w:t>、内蒙古森林消防总队特勤大队、林业和草原分局</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公安分局</w:t>
      </w:r>
      <w:r>
        <w:rPr>
          <w:rFonts w:hint="eastAsia" w:ascii="仿宋_GB2312" w:hAnsi="仿宋_GB2312" w:eastAsia="仿宋_GB2312" w:cs="仿宋_GB2312"/>
          <w:color w:val="auto"/>
          <w:kern w:val="0"/>
          <w:sz w:val="32"/>
          <w:szCs w:val="32"/>
          <w:highlight w:val="none"/>
        </w:rPr>
        <w:t>、</w:t>
      </w:r>
      <w:r>
        <w:rPr>
          <w:rFonts w:hint="eastAsia" w:ascii="宋体" w:hAnsi="宋体" w:eastAsia="仿宋_GB2312"/>
          <w:color w:val="auto"/>
          <w:sz w:val="32"/>
          <w:szCs w:val="32"/>
          <w:highlight w:val="none"/>
        </w:rPr>
        <w:t>保和少镇、</w:t>
      </w:r>
      <w:r>
        <w:rPr>
          <w:rFonts w:hint="eastAsia" w:ascii="宋体" w:hAnsi="宋体" w:eastAsia="仿宋_GB2312"/>
          <w:color w:val="auto"/>
          <w:sz w:val="32"/>
          <w:szCs w:val="32"/>
          <w:highlight w:val="none"/>
          <w:lang w:eastAsia="zh-CN"/>
        </w:rPr>
        <w:t>成吉思汗大街街道办事处、</w:t>
      </w:r>
      <w:r>
        <w:rPr>
          <w:rFonts w:hint="eastAsia" w:ascii="宋体" w:hAnsi="宋体" w:eastAsia="仿宋_GB2312"/>
          <w:color w:val="auto"/>
          <w:sz w:val="32"/>
          <w:szCs w:val="32"/>
          <w:lang w:eastAsia="zh-CN"/>
        </w:rPr>
        <w:t>古路板管理站</w:t>
      </w:r>
      <w:r>
        <w:rPr>
          <w:rFonts w:hint="eastAsia" w:ascii="宋体" w:hAnsi="宋体" w:eastAsia="仿宋_GB2312"/>
          <w:color w:val="auto"/>
          <w:sz w:val="32"/>
          <w:szCs w:val="32"/>
          <w:highlight w:val="none"/>
        </w:rPr>
        <w:t>和森林草原管理单位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武装部</w:t>
      </w:r>
      <w:r>
        <w:rPr>
          <w:rFonts w:hint="eastAsia" w:ascii="仿宋_GB2312" w:hAnsi="仿宋_GB2312" w:eastAsia="仿宋_GB2312" w:cs="仿宋_GB2312"/>
          <w:color w:val="auto"/>
          <w:kern w:val="0"/>
          <w:sz w:val="32"/>
          <w:szCs w:val="32"/>
          <w:highlight w:val="none"/>
        </w:rPr>
        <w:t>等部门和单位参加。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指导灾区制定现场抢险救援方案和组织实施工作；根据灾情变化，适时提出调整抢险救援力量的建议；协调调度应急救援队伍和物资参加抢险救援；指导社会救援力量参与抢险救援；组织协调现场应急处置有关工作；视情组织周边救援队伍开展现场行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医疗救治组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lang w:eastAsia="zh-CN"/>
        </w:rPr>
        <w:t>卫生健康委员会</w:t>
      </w:r>
      <w:r>
        <w:rPr>
          <w:rFonts w:hint="eastAsia" w:ascii="仿宋_GB2312" w:hAnsi="仿宋_GB2312" w:eastAsia="仿宋_GB2312" w:cs="仿宋_GB2312"/>
          <w:color w:val="auto"/>
          <w:kern w:val="0"/>
          <w:sz w:val="32"/>
          <w:szCs w:val="32"/>
        </w:rPr>
        <w:t>牵头，相关部门和单位参加。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主要职责：组织指导灾区医疗救助和卫生防疫工作；统筹协调医疗救护队伍和医疗器械、药品支援灾区；组织指导灾区转运救治伤员、做好伤亡统计；指导灾区、安置点防范和控制各种传染病等疫情暴发流行。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火灾监测组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lang w:eastAsia="zh-CN"/>
        </w:rPr>
        <w:t>应急管理局</w:t>
      </w:r>
      <w:r>
        <w:rPr>
          <w:rFonts w:hint="eastAsia" w:ascii="仿宋_GB2312" w:hAnsi="仿宋_GB2312" w:eastAsia="仿宋_GB2312" w:cs="仿宋_GB2312"/>
          <w:color w:val="auto"/>
          <w:kern w:val="0"/>
          <w:sz w:val="32"/>
          <w:szCs w:val="32"/>
          <w:lang w:val="en-US" w:eastAsia="zh-CN"/>
        </w:rPr>
        <w:t>牵</w:t>
      </w:r>
      <w:r>
        <w:rPr>
          <w:rFonts w:hint="eastAsia" w:ascii="仿宋_GB2312" w:hAnsi="仿宋_GB2312" w:eastAsia="仿宋_GB2312" w:cs="仿宋_GB2312"/>
          <w:color w:val="auto"/>
          <w:kern w:val="0"/>
          <w:sz w:val="32"/>
          <w:szCs w:val="32"/>
        </w:rPr>
        <w:t>头，</w:t>
      </w:r>
      <w:r>
        <w:rPr>
          <w:rFonts w:hint="eastAsia" w:ascii="仿宋_GB2312" w:hAnsi="仿宋_GB2312" w:eastAsia="仿宋_GB2312" w:cs="仿宋_GB2312"/>
          <w:color w:val="auto"/>
          <w:kern w:val="0"/>
          <w:sz w:val="32"/>
          <w:szCs w:val="32"/>
          <w:lang w:eastAsia="zh-CN"/>
        </w:rPr>
        <w:t>林业和草原分局</w:t>
      </w:r>
      <w:r>
        <w:rPr>
          <w:rFonts w:hint="eastAsia" w:ascii="仿宋_GB2312" w:hAnsi="仿宋_GB2312" w:eastAsia="仿宋_GB2312" w:cs="仿宋_GB2312"/>
          <w:color w:val="auto"/>
          <w:kern w:val="0"/>
          <w:sz w:val="32"/>
          <w:szCs w:val="32"/>
        </w:rPr>
        <w:t>、气象</w:t>
      </w:r>
      <w:r>
        <w:rPr>
          <w:rFonts w:hint="eastAsia" w:ascii="仿宋_GB2312" w:hAnsi="仿宋_GB2312" w:eastAsia="仿宋_GB2312" w:cs="仿宋_GB2312"/>
          <w:color w:val="auto"/>
          <w:kern w:val="0"/>
          <w:sz w:val="32"/>
          <w:szCs w:val="32"/>
          <w:lang w:val="en-US" w:eastAsia="zh-CN"/>
        </w:rPr>
        <w:t>分</w:t>
      </w:r>
      <w:r>
        <w:rPr>
          <w:rFonts w:hint="eastAsia" w:ascii="仿宋_GB2312" w:hAnsi="仿宋_GB2312" w:eastAsia="仿宋_GB2312" w:cs="仿宋_GB2312"/>
          <w:color w:val="auto"/>
          <w:kern w:val="0"/>
          <w:sz w:val="32"/>
          <w:szCs w:val="32"/>
        </w:rPr>
        <w:t>局</w:t>
      </w:r>
      <w:r>
        <w:rPr>
          <w:rFonts w:hint="eastAsia" w:ascii="仿宋_GB2312" w:hAnsi="仿宋_GB2312" w:eastAsia="仿宋_GB2312" w:cs="仿宋_GB2312"/>
          <w:color w:val="auto"/>
          <w:kern w:val="0"/>
          <w:sz w:val="32"/>
          <w:szCs w:val="32"/>
          <w:lang w:eastAsia="zh-CN"/>
        </w:rPr>
        <w:t>、</w:t>
      </w:r>
      <w:r>
        <w:rPr>
          <w:rFonts w:hint="eastAsia" w:ascii="宋体" w:hAnsi="宋体" w:eastAsia="仿宋_GB2312"/>
          <w:color w:val="auto"/>
          <w:sz w:val="32"/>
          <w:szCs w:val="32"/>
          <w:highlight w:val="none"/>
        </w:rPr>
        <w:t>保和少镇、</w:t>
      </w:r>
      <w:r>
        <w:rPr>
          <w:rFonts w:hint="eastAsia" w:ascii="宋体" w:hAnsi="宋体" w:eastAsia="仿宋_GB2312"/>
          <w:color w:val="auto"/>
          <w:sz w:val="32"/>
          <w:szCs w:val="32"/>
          <w:highlight w:val="none"/>
          <w:lang w:eastAsia="zh-CN"/>
        </w:rPr>
        <w:t>成吉思汗大街街道办事处、</w:t>
      </w:r>
      <w:r>
        <w:rPr>
          <w:rFonts w:hint="eastAsia" w:ascii="宋体" w:hAnsi="宋体" w:eastAsia="仿宋_GB2312"/>
          <w:color w:val="auto"/>
          <w:sz w:val="32"/>
          <w:szCs w:val="32"/>
          <w:lang w:eastAsia="zh-CN"/>
        </w:rPr>
        <w:t>古路板管理站</w:t>
      </w:r>
      <w:r>
        <w:rPr>
          <w:rFonts w:hint="eastAsia" w:ascii="宋体" w:hAnsi="宋体" w:eastAsia="仿宋_GB2312"/>
          <w:color w:val="auto"/>
          <w:sz w:val="32"/>
          <w:szCs w:val="32"/>
          <w:highlight w:val="none"/>
        </w:rPr>
        <w:t>和森林草原管理单位</w:t>
      </w:r>
      <w:r>
        <w:rPr>
          <w:rFonts w:hint="eastAsia" w:ascii="仿宋_GB2312" w:hAnsi="仿宋_GB2312" w:eastAsia="仿宋_GB2312" w:cs="仿宋_GB2312"/>
          <w:color w:val="auto"/>
          <w:kern w:val="0"/>
          <w:sz w:val="32"/>
          <w:szCs w:val="32"/>
        </w:rPr>
        <w:t>等部门和单位参加。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主要职责：组织火灾风险监测，指导次生衍生灾害防范；调度相关技术力量和设备，监视灾情发展；指导灾害防御和灾害隐患监测预警。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5</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通信保障组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区工业和信息化局</w:t>
      </w:r>
      <w:r>
        <w:rPr>
          <w:rFonts w:hint="eastAsia" w:ascii="仿宋_GB2312" w:hAnsi="仿宋_GB2312" w:eastAsia="仿宋_GB2312" w:cs="仿宋_GB2312"/>
          <w:color w:val="auto"/>
          <w:kern w:val="0"/>
          <w:sz w:val="32"/>
          <w:szCs w:val="32"/>
        </w:rPr>
        <w:t>牵头，</w:t>
      </w:r>
      <w:r>
        <w:rPr>
          <w:rFonts w:hint="eastAsia" w:ascii="仿宋_GB2312" w:hAnsi="仿宋_GB2312" w:eastAsia="仿宋_GB2312" w:cs="仿宋_GB2312"/>
          <w:color w:val="auto"/>
          <w:kern w:val="0"/>
          <w:sz w:val="32"/>
          <w:szCs w:val="32"/>
          <w:lang w:eastAsia="zh-CN"/>
        </w:rPr>
        <w:t>应急管理局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文化旅游广电局</w:t>
      </w:r>
      <w:r>
        <w:rPr>
          <w:rFonts w:hint="eastAsia" w:ascii="仿宋_GB2312" w:hAnsi="仿宋_GB2312" w:eastAsia="仿宋_GB2312" w:cs="仿宋_GB2312"/>
          <w:color w:val="auto"/>
          <w:kern w:val="0"/>
          <w:sz w:val="32"/>
          <w:szCs w:val="32"/>
        </w:rPr>
        <w:t>等部门和单位参加。</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主要职责：协调做好指挥机构在灾区时的通信和信息化组网工作；建立灾害现场指挥机构、应急救援队伍与</w:t>
      </w:r>
      <w:r>
        <w:rPr>
          <w:rFonts w:hint="eastAsia" w:ascii="仿宋_GB2312" w:hAnsi="仿宋_GB2312" w:eastAsia="仿宋_GB2312" w:cs="仿宋_GB2312"/>
          <w:color w:val="auto"/>
          <w:kern w:val="0"/>
          <w:sz w:val="32"/>
          <w:szCs w:val="32"/>
          <w:lang w:eastAsia="zh-CN"/>
        </w:rPr>
        <w:t>应急管理局</w:t>
      </w:r>
      <w:r>
        <w:rPr>
          <w:rFonts w:hint="eastAsia" w:ascii="仿宋_GB2312" w:hAnsi="仿宋_GB2312" w:eastAsia="仿宋_GB2312" w:cs="仿宋_GB2312"/>
          <w:color w:val="auto"/>
          <w:kern w:val="0"/>
          <w:sz w:val="32"/>
          <w:szCs w:val="32"/>
        </w:rPr>
        <w:t>指挥中心以及其他指挥机构之间的通信联络；指导修复受损通信设施，恢复灾区通信。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eastAsia="zh-CN"/>
        </w:rPr>
        <w:t>）交通保障组</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公安分局</w:t>
      </w:r>
      <w:r>
        <w:rPr>
          <w:rFonts w:hint="eastAsia" w:ascii="仿宋_GB2312" w:hAnsi="仿宋_GB2312" w:eastAsia="仿宋_GB2312" w:cs="仿宋_GB2312"/>
          <w:color w:val="auto"/>
          <w:kern w:val="0"/>
          <w:sz w:val="32"/>
          <w:szCs w:val="32"/>
        </w:rPr>
        <w:t>牵头，</w:t>
      </w:r>
      <w:r>
        <w:rPr>
          <w:rFonts w:hint="eastAsia" w:ascii="仿宋_GB2312" w:hAnsi="仿宋_GB2312" w:eastAsia="仿宋_GB2312" w:cs="仿宋_GB2312"/>
          <w:color w:val="auto"/>
          <w:kern w:val="0"/>
          <w:sz w:val="32"/>
          <w:szCs w:val="32"/>
          <w:lang w:val="en-US" w:eastAsia="zh-CN"/>
        </w:rPr>
        <w:t>交管大队、农牧水利局（交通）</w:t>
      </w:r>
      <w:r>
        <w:rPr>
          <w:rFonts w:hint="eastAsia" w:ascii="仿宋_GB2312" w:hAnsi="仿宋_GB2312" w:eastAsia="仿宋_GB2312" w:cs="仿宋_GB2312"/>
          <w:color w:val="auto"/>
          <w:kern w:val="0"/>
          <w:sz w:val="32"/>
          <w:szCs w:val="32"/>
        </w:rPr>
        <w:t>等部门和单位参加。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主要职责：统筹协调做好应急救援力量赴灾区和撤离时的交通保障工作；指导灾区道路抢通抢修；协调抢险救灾物资、救援装备以及基本生活物资等交通保障。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lang w:eastAsia="zh-CN"/>
        </w:rPr>
        <w:t>）军队协调组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武装部</w:t>
      </w:r>
      <w:r>
        <w:rPr>
          <w:rFonts w:hint="eastAsia" w:ascii="仿宋_GB2312" w:hAnsi="仿宋_GB2312" w:eastAsia="仿宋_GB2312" w:cs="仿宋_GB2312"/>
          <w:color w:val="auto"/>
          <w:kern w:val="0"/>
          <w:sz w:val="32"/>
          <w:szCs w:val="32"/>
        </w:rPr>
        <w:t>牵头，</w:t>
      </w:r>
      <w:r>
        <w:rPr>
          <w:rFonts w:hint="eastAsia" w:ascii="仿宋_GB2312" w:hAnsi="仿宋_GB2312" w:eastAsia="仿宋_GB2312" w:cs="仿宋_GB2312"/>
          <w:color w:val="auto"/>
          <w:kern w:val="0"/>
          <w:sz w:val="32"/>
          <w:szCs w:val="32"/>
          <w:lang w:val="en-US" w:eastAsia="zh-CN"/>
        </w:rPr>
        <w:t>应急管理局等</w:t>
      </w:r>
      <w:r>
        <w:rPr>
          <w:rFonts w:hint="eastAsia" w:ascii="仿宋_GB2312" w:hAnsi="仿宋_GB2312" w:eastAsia="仿宋_GB2312" w:cs="仿宋_GB2312"/>
          <w:color w:val="auto"/>
          <w:kern w:val="0"/>
          <w:sz w:val="32"/>
          <w:szCs w:val="32"/>
        </w:rPr>
        <w:t>相关部门和单位参加。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主要职责：指挥调度军队力量参加抢险救援；建立军地协同对接渠道，加强信息互联互通，进行军地联合指挥；协调做好军队力量在灾区时的后勤保障工作。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lang w:eastAsia="zh-CN"/>
        </w:rPr>
        <w:t>）专家组</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由专家组成员组成。</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主要职责：组织现场灾情会商研判，提供技术支持；指导现场监测预警和隐患排查工作；指导地方开展灾情调查和灾损评估；参与制定抢险救援方案。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kern w:val="0"/>
          <w:sz w:val="32"/>
          <w:szCs w:val="32"/>
          <w:lang w:eastAsia="zh-CN"/>
        </w:rPr>
        <w:t>）灾情评估组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林业和草原分局</w:t>
      </w:r>
      <w:r>
        <w:rPr>
          <w:rFonts w:hint="eastAsia" w:ascii="仿宋_GB2312" w:hAnsi="仿宋_GB2312" w:eastAsia="仿宋_GB2312" w:cs="仿宋_GB2312"/>
          <w:color w:val="auto"/>
          <w:kern w:val="0"/>
          <w:sz w:val="32"/>
          <w:szCs w:val="32"/>
        </w:rPr>
        <w:t>牵头，</w:t>
      </w:r>
      <w:r>
        <w:rPr>
          <w:rFonts w:hint="eastAsia" w:ascii="仿宋_GB2312" w:hAnsi="仿宋_GB2312" w:eastAsia="仿宋_GB2312" w:cs="仿宋_GB2312"/>
          <w:color w:val="auto"/>
          <w:kern w:val="0"/>
          <w:sz w:val="32"/>
          <w:szCs w:val="32"/>
          <w:lang w:eastAsia="zh-CN"/>
        </w:rPr>
        <w:t>公安分局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应急管理局、</w:t>
      </w:r>
      <w:r>
        <w:rPr>
          <w:rFonts w:hint="eastAsia" w:ascii="宋体" w:hAnsi="宋体" w:eastAsia="仿宋_GB2312"/>
          <w:color w:val="auto"/>
          <w:sz w:val="32"/>
          <w:szCs w:val="32"/>
          <w:highlight w:val="none"/>
        </w:rPr>
        <w:t>保和少镇、</w:t>
      </w:r>
      <w:r>
        <w:rPr>
          <w:rFonts w:hint="eastAsia" w:ascii="宋体" w:hAnsi="宋体" w:eastAsia="仿宋_GB2312"/>
          <w:color w:val="auto"/>
          <w:sz w:val="32"/>
          <w:szCs w:val="32"/>
          <w:highlight w:val="none"/>
          <w:lang w:eastAsia="zh-CN"/>
        </w:rPr>
        <w:t>成吉思汗大街街道办事处、</w:t>
      </w:r>
      <w:r>
        <w:rPr>
          <w:rFonts w:hint="eastAsia" w:ascii="宋体" w:hAnsi="宋体" w:eastAsia="仿宋_GB2312"/>
          <w:color w:val="auto"/>
          <w:sz w:val="32"/>
          <w:szCs w:val="32"/>
          <w:lang w:eastAsia="zh-CN"/>
        </w:rPr>
        <w:t>古路板管理站</w:t>
      </w:r>
      <w:r>
        <w:rPr>
          <w:rFonts w:hint="eastAsia" w:ascii="宋体" w:hAnsi="宋体" w:eastAsia="仿宋_GB2312"/>
          <w:color w:val="auto"/>
          <w:sz w:val="32"/>
          <w:szCs w:val="32"/>
          <w:highlight w:val="none"/>
        </w:rPr>
        <w:t>和森林草原管理单位</w:t>
      </w:r>
      <w:r>
        <w:rPr>
          <w:rFonts w:hint="eastAsia" w:ascii="仿宋_GB2312" w:hAnsi="仿宋_GB2312" w:eastAsia="仿宋_GB2312" w:cs="仿宋_GB2312"/>
          <w:color w:val="auto"/>
          <w:kern w:val="0"/>
          <w:sz w:val="32"/>
          <w:szCs w:val="32"/>
        </w:rPr>
        <w:t>等部门和单位参加。</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主要职责：指导开展灾情调查和灾时跟踪评估，为抢险救灾决策提供信息支持；参与制定救援救灾方案。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（10）</w:t>
      </w:r>
      <w:r>
        <w:rPr>
          <w:rFonts w:hint="eastAsia" w:ascii="仿宋_GB2312" w:hAnsi="仿宋_GB2312" w:eastAsia="仿宋_GB2312" w:cs="仿宋_GB2312"/>
          <w:b w:val="0"/>
          <w:bCs w:val="0"/>
          <w:color w:val="auto"/>
          <w:kern w:val="0"/>
          <w:sz w:val="32"/>
          <w:szCs w:val="32"/>
          <w:lang w:eastAsia="zh-CN"/>
        </w:rPr>
        <w:t>群众生活组</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highlight w:val="none"/>
        </w:rPr>
        <w:t>由</w:t>
      </w:r>
      <w:r>
        <w:rPr>
          <w:rFonts w:hint="eastAsia" w:ascii="仿宋_GB2312" w:hAnsi="仿宋_GB2312" w:eastAsia="仿宋_GB2312" w:cs="仿宋_GB2312"/>
          <w:color w:val="auto"/>
          <w:kern w:val="0"/>
          <w:sz w:val="32"/>
          <w:szCs w:val="32"/>
          <w:highlight w:val="none"/>
          <w:lang w:val="en-US" w:eastAsia="zh-CN"/>
        </w:rPr>
        <w:t>区</w:t>
      </w:r>
      <w:r>
        <w:rPr>
          <w:rFonts w:hint="eastAsia" w:ascii="仿宋_GB2312" w:hAnsi="仿宋_GB2312" w:eastAsia="仿宋_GB2312" w:cs="仿宋_GB2312"/>
          <w:color w:val="auto"/>
          <w:kern w:val="0"/>
          <w:sz w:val="32"/>
          <w:szCs w:val="32"/>
          <w:highlight w:val="none"/>
          <w:lang w:eastAsia="zh-CN"/>
        </w:rPr>
        <w:t>应急管理局</w:t>
      </w:r>
      <w:r>
        <w:rPr>
          <w:rFonts w:hint="eastAsia" w:ascii="仿宋_GB2312" w:hAnsi="仿宋_GB2312" w:eastAsia="仿宋_GB2312" w:cs="仿宋_GB2312"/>
          <w:color w:val="auto"/>
          <w:kern w:val="0"/>
          <w:sz w:val="32"/>
          <w:szCs w:val="32"/>
          <w:highlight w:val="none"/>
        </w:rPr>
        <w:t>牵头，</w:t>
      </w:r>
      <w:r>
        <w:rPr>
          <w:rFonts w:hint="eastAsia" w:ascii="仿宋_GB2312" w:hAnsi="仿宋_GB2312" w:eastAsia="仿宋_GB2312" w:cs="仿宋_GB2312"/>
          <w:color w:val="auto"/>
          <w:kern w:val="0"/>
          <w:sz w:val="32"/>
          <w:szCs w:val="32"/>
          <w:highlight w:val="none"/>
          <w:lang w:eastAsia="zh-CN"/>
        </w:rPr>
        <w:t>发展和改革委员会</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工业和信息化局</w:t>
      </w:r>
      <w:r>
        <w:rPr>
          <w:rFonts w:hint="eastAsia" w:ascii="仿宋_GB2312" w:hAnsi="仿宋_GB2312" w:eastAsia="仿宋_GB2312" w:cs="仿宋_GB2312"/>
          <w:color w:val="auto"/>
          <w:kern w:val="0"/>
          <w:sz w:val="32"/>
          <w:szCs w:val="32"/>
          <w:highlight w:val="none"/>
        </w:rPr>
        <w:t>、民政局</w:t>
      </w:r>
      <w:r>
        <w:rPr>
          <w:rFonts w:hint="eastAsia" w:ascii="仿宋_GB2312" w:hAnsi="仿宋_GB2312" w:eastAsia="仿宋_GB2312" w:cs="仿宋_GB2312"/>
          <w:color w:val="auto"/>
          <w:kern w:val="0"/>
          <w:sz w:val="32"/>
          <w:szCs w:val="32"/>
        </w:rPr>
        <w:t>、财政局等部门和单位参加。</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主要职责：制定受灾群众救助工作方案；下拨</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救灾款物并指导发放；统筹灾区生活必需品市场供应，指导灾区油、电、气等重要基础设施抢修；指导做好受灾群众紧急转移安置、过渡期救助和因灾遇难人员家属抚慰等工作；组织国内捐赠、国际援助接收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（11）社会治安组</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公安分局</w:t>
      </w:r>
      <w:r>
        <w:rPr>
          <w:rFonts w:hint="eastAsia" w:ascii="仿宋_GB2312" w:hAnsi="仿宋_GB2312" w:eastAsia="仿宋_GB2312" w:cs="仿宋_GB2312"/>
          <w:color w:val="auto"/>
          <w:kern w:val="0"/>
          <w:sz w:val="32"/>
          <w:szCs w:val="32"/>
        </w:rPr>
        <w:t>牵头，</w:t>
      </w:r>
      <w:r>
        <w:rPr>
          <w:rFonts w:hint="eastAsia" w:ascii="仿宋_GB2312" w:hAnsi="仿宋_GB2312" w:eastAsia="仿宋_GB2312" w:cs="仿宋_GB2312"/>
          <w:color w:val="auto"/>
          <w:kern w:val="0"/>
          <w:sz w:val="32"/>
          <w:szCs w:val="32"/>
          <w:lang w:val="en-US" w:eastAsia="zh-CN"/>
        </w:rPr>
        <w:t>交管大队、武装部</w:t>
      </w:r>
      <w:r>
        <w:rPr>
          <w:rFonts w:hint="eastAsia" w:ascii="仿宋_GB2312" w:hAnsi="仿宋_GB2312" w:eastAsia="仿宋_GB2312" w:cs="仿宋_GB2312"/>
          <w:color w:val="auto"/>
          <w:kern w:val="0"/>
          <w:sz w:val="32"/>
          <w:szCs w:val="32"/>
        </w:rPr>
        <w:t>等相关部门和单位参加。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职责：做好森林草原火灾有关违法犯罪案件查处工作；指导协助灾区加强现场管控和治安管理工作；维护社会治安和道路交通秩序，预防和处置群体性事件，维护社会稳定；协调做好火场前线指挥部在灾区时的安全保卫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（12）宣传报道组</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委宣传部牵头，文化旅游广电局、</w:t>
      </w:r>
      <w:r>
        <w:rPr>
          <w:rFonts w:hint="eastAsia" w:ascii="仿宋_GB2312" w:hAnsi="仿宋_GB2312" w:eastAsia="仿宋_GB2312" w:cs="仿宋_GB2312"/>
          <w:color w:val="auto"/>
          <w:kern w:val="0"/>
          <w:sz w:val="32"/>
          <w:szCs w:val="32"/>
          <w:lang w:eastAsia="zh-CN"/>
        </w:rPr>
        <w:t>应急管理局</w:t>
      </w:r>
      <w:r>
        <w:rPr>
          <w:rFonts w:hint="eastAsia" w:ascii="仿宋_GB2312" w:hAnsi="仿宋_GB2312" w:eastAsia="仿宋_GB2312" w:cs="仿宋_GB2312"/>
          <w:color w:val="auto"/>
          <w:kern w:val="0"/>
          <w:sz w:val="32"/>
          <w:szCs w:val="32"/>
        </w:rPr>
        <w:t>等部门和单位参加。</w:t>
      </w:r>
    </w:p>
    <w:p>
      <w:pPr>
        <w:pStyle w:val="8"/>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eastAsia="仿宋_GB2312"/>
          <w:color w:val="auto"/>
          <w:lang w:eastAsia="zh-CN"/>
        </w:rPr>
      </w:pPr>
      <w:r>
        <w:rPr>
          <w:rFonts w:hint="eastAsia" w:ascii="仿宋_GB2312" w:hAnsi="仿宋_GB2312" w:eastAsia="仿宋_GB2312" w:cs="仿宋_GB2312"/>
          <w:color w:val="auto"/>
          <w:kern w:val="0"/>
          <w:sz w:val="32"/>
          <w:szCs w:val="32"/>
        </w:rPr>
        <w:t>主要职责：统筹新闻宣传报道工作；指导做好现场发布会和新闻媒体服务管理；组织开展舆情监测研判，加强舆情管控；指导做好科普宣传</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15" w:name="_Toc29549"/>
      <w:bookmarkStart w:id="116" w:name="_Toc20546"/>
      <w:bookmarkStart w:id="117" w:name="_Toc1631"/>
      <w:r>
        <w:rPr>
          <w:rFonts w:hint="eastAsia" w:ascii="黑体" w:eastAsia="黑体"/>
          <w:bCs/>
          <w:color w:val="auto"/>
          <w:kern w:val="44"/>
          <w:sz w:val="32"/>
          <w:szCs w:val="44"/>
          <w:lang w:val="en-US" w:eastAsia="zh-CN"/>
        </w:rPr>
        <w:t>3.4 专家组</w:t>
      </w:r>
      <w:bookmarkEnd w:id="115"/>
      <w:bookmarkEnd w:id="116"/>
      <w:bookmarkEnd w:id="117"/>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区森防指应设立专家组，负责对</w:t>
      </w:r>
      <w:r>
        <w:rPr>
          <w:rFonts w:hint="eastAsia" w:ascii="宋体" w:hAnsi="宋体" w:eastAsia="仿宋_GB2312"/>
          <w:color w:val="auto"/>
          <w:sz w:val="32"/>
          <w:szCs w:val="32"/>
          <w:lang w:val="en-US" w:eastAsia="zh-CN"/>
        </w:rPr>
        <w:t>本</w:t>
      </w:r>
      <w:r>
        <w:rPr>
          <w:rFonts w:hint="eastAsia" w:ascii="宋体" w:hAnsi="宋体" w:eastAsia="仿宋_GB2312"/>
          <w:color w:val="auto"/>
          <w:sz w:val="32"/>
          <w:szCs w:val="32"/>
        </w:rPr>
        <w:t>区森林草原防灭火工作提供政策、技术咨询与建议；负责对火场态势及火灾发展趋势进行科学分析和评估，提出灭火方案建议，为扑救决策提供技术支撑。</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18" w:name="_Toc10797"/>
      <w:bookmarkStart w:id="119" w:name="_Toc13876"/>
      <w:bookmarkStart w:id="120" w:name="_Toc23480"/>
      <w:r>
        <w:rPr>
          <w:rFonts w:hint="eastAsia" w:ascii="黑体" w:eastAsia="黑体"/>
          <w:bCs/>
          <w:color w:val="auto"/>
          <w:kern w:val="44"/>
          <w:sz w:val="32"/>
          <w:szCs w:val="44"/>
          <w:lang w:val="en-US" w:eastAsia="zh-CN"/>
        </w:rPr>
        <w:t>4 处置力量</w:t>
      </w:r>
      <w:bookmarkEnd w:id="118"/>
      <w:bookmarkEnd w:id="119"/>
      <w:bookmarkEnd w:id="120"/>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21" w:name="_Toc16035"/>
      <w:bookmarkStart w:id="122" w:name="_Toc12275"/>
      <w:bookmarkStart w:id="123" w:name="_Toc18615"/>
      <w:r>
        <w:rPr>
          <w:rFonts w:hint="eastAsia" w:ascii="黑体" w:eastAsia="黑体"/>
          <w:bCs/>
          <w:color w:val="auto"/>
          <w:kern w:val="44"/>
          <w:sz w:val="32"/>
          <w:szCs w:val="44"/>
          <w:lang w:val="en-US" w:eastAsia="zh-CN"/>
        </w:rPr>
        <w:t>4.1 力量编成</w:t>
      </w:r>
      <w:bookmarkEnd w:id="121"/>
      <w:bookmarkEnd w:id="122"/>
      <w:bookmarkEnd w:id="123"/>
    </w:p>
    <w:p>
      <w:pPr>
        <w:pageBreakBefore w:val="0"/>
        <w:widowControl w:val="0"/>
        <w:kinsoku/>
        <w:wordWrap/>
        <w:overflowPunct/>
        <w:topLinePunct w:val="0"/>
        <w:autoSpaceDE/>
        <w:autoSpaceDN/>
        <w:bidi w:val="0"/>
        <w:spacing w:line="560" w:lineRule="atLeast"/>
        <w:ind w:firstLine="560"/>
        <w:textAlignment w:val="auto"/>
        <w:rPr>
          <w:rFonts w:hint="default" w:ascii="Times New Roman" w:hAnsi="Times New Roman" w:cs="Times New Roman"/>
          <w:i w:val="0"/>
          <w:iCs w:val="0"/>
          <w:caps w:val="0"/>
          <w:color w:val="auto"/>
          <w:spacing w:val="0"/>
          <w:sz w:val="32"/>
          <w:szCs w:val="32"/>
        </w:rPr>
      </w:pPr>
      <w:bookmarkStart w:id="124" w:name="_Toc19383"/>
      <w:bookmarkStart w:id="125" w:name="_Toc7801"/>
      <w:r>
        <w:rPr>
          <w:rFonts w:hint="eastAsia" w:ascii="仿宋_GB2312" w:hAnsi="Times New Roman" w:eastAsia="仿宋_GB2312" w:cs="仿宋_GB2312"/>
          <w:i w:val="0"/>
          <w:iCs w:val="0"/>
          <w:caps w:val="0"/>
          <w:color w:val="auto"/>
          <w:spacing w:val="0"/>
          <w:sz w:val="32"/>
          <w:szCs w:val="32"/>
          <w:shd w:val="clear" w:color="auto" w:fill="FFFFFF"/>
        </w:rPr>
        <w:t>扑救森林草原火灾以专业、半专业防扑火队伍、消防救援队伍</w:t>
      </w:r>
      <w:r>
        <w:rPr>
          <w:rFonts w:hint="eastAsia" w:ascii="仿宋_GB2312" w:hAnsi="Times New Roman" w:eastAsia="仿宋_GB2312" w:cs="仿宋_GB2312"/>
          <w:i w:val="0"/>
          <w:iCs w:val="0"/>
          <w:caps w:val="0"/>
          <w:color w:val="auto"/>
          <w:spacing w:val="0"/>
          <w:sz w:val="32"/>
          <w:szCs w:val="32"/>
          <w:shd w:val="clear" w:color="auto" w:fill="FFFFFF"/>
          <w:lang w:eastAsia="zh-CN"/>
        </w:rPr>
        <w:t>、</w:t>
      </w:r>
      <w:r>
        <w:rPr>
          <w:rFonts w:hint="eastAsia" w:ascii="仿宋_GB2312" w:hAnsi="Times New Roman" w:eastAsia="仿宋_GB2312" w:cs="仿宋_GB2312"/>
          <w:i w:val="0"/>
          <w:iCs w:val="0"/>
          <w:caps w:val="0"/>
          <w:color w:val="auto"/>
          <w:spacing w:val="0"/>
          <w:sz w:val="32"/>
          <w:szCs w:val="32"/>
          <w:shd w:val="clear" w:color="auto" w:fill="FFFFFF"/>
        </w:rPr>
        <w:t>内蒙古森林消防总队特勤大队等受过专业培训的扑火力量为主，解放军、武警部队、民兵应急分队等支援力量为辅，社会救援力量为补充。必要时可动员当地林区职工、机关干部及当地群众等力量协助做好</w:t>
      </w:r>
      <w:r>
        <w:rPr>
          <w:rFonts w:hint="eastAsia" w:ascii="仿宋_GB2312" w:hAnsi="仿宋_GB2312" w:eastAsia="仿宋_GB2312" w:cs="仿宋_GB2312"/>
          <w:i w:val="0"/>
          <w:iCs w:val="0"/>
          <w:caps w:val="0"/>
          <w:color w:val="auto"/>
          <w:spacing w:val="0"/>
          <w:sz w:val="32"/>
          <w:szCs w:val="32"/>
          <w:shd w:val="clear" w:color="auto" w:fill="FFFFFF"/>
        </w:rPr>
        <w:t>扑救工作。</w:t>
      </w:r>
      <w:r>
        <w:rPr>
          <w:rFonts w:hint="eastAsia" w:ascii="仿宋_GB2312" w:hAnsi="仿宋_GB2312" w:eastAsia="仿宋_GB2312" w:cs="仿宋_GB2312"/>
          <w:color w:val="auto"/>
          <w:kern w:val="0"/>
          <w:sz w:val="32"/>
          <w:szCs w:val="32"/>
        </w:rPr>
        <w:t>不得动员未经专业训练以及残疾人、孕妇和未成年人等其他不适宜参加森林草原火灾扑救的人员参加扑救工作</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default" w:ascii="黑体" w:eastAsia="黑体" w:cs="Times New Roman"/>
          <w:bCs/>
          <w:color w:val="auto"/>
          <w:kern w:val="44"/>
          <w:sz w:val="32"/>
          <w:szCs w:val="32"/>
          <w:highlight w:val="none"/>
          <w:lang w:val="en-US" w:eastAsia="zh-CN"/>
        </w:rPr>
      </w:pPr>
      <w:bookmarkStart w:id="126" w:name="_Toc1327"/>
      <w:bookmarkStart w:id="127" w:name="_Toc29788"/>
      <w:r>
        <w:rPr>
          <w:rFonts w:hint="default" w:ascii="黑体" w:eastAsia="黑体" w:cs="Times New Roman"/>
          <w:bCs/>
          <w:color w:val="auto"/>
          <w:kern w:val="44"/>
          <w:sz w:val="32"/>
          <w:szCs w:val="32"/>
          <w:highlight w:val="none"/>
          <w:lang w:val="en-US" w:eastAsia="zh-CN"/>
        </w:rPr>
        <w:t>4.2</w:t>
      </w:r>
      <w:r>
        <w:rPr>
          <w:rFonts w:hint="eastAsia" w:ascii="黑体" w:eastAsia="黑体" w:cs="Times New Roman"/>
          <w:bCs/>
          <w:color w:val="auto"/>
          <w:kern w:val="44"/>
          <w:sz w:val="32"/>
          <w:szCs w:val="32"/>
          <w:highlight w:val="none"/>
          <w:lang w:val="en-US" w:eastAsia="zh-CN"/>
        </w:rPr>
        <w:t xml:space="preserve"> 力量调动</w:t>
      </w:r>
      <w:bookmarkEnd w:id="126"/>
      <w:bookmarkEnd w:id="127"/>
    </w:p>
    <w:p>
      <w:pPr>
        <w:keepNext w:val="0"/>
        <w:keepLines w:val="0"/>
        <w:pageBreakBefore w:val="0"/>
        <w:widowControl w:val="0"/>
        <w:kinsoku/>
        <w:wordWrap/>
        <w:overflowPunct/>
        <w:topLinePunct w:val="0"/>
        <w:autoSpaceDE/>
        <w:autoSpaceDN/>
        <w:bidi w:val="0"/>
        <w:snapToGrid/>
        <w:spacing w:line="62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根据森林草原火灾应对需要，首先调动属地扑火力量，邻近力量作为增援力量。跨</w:t>
      </w:r>
      <w:r>
        <w:rPr>
          <w:rFonts w:hint="eastAsia" w:ascii="仿宋_GB2312" w:hAnsi="仿宋_GB2312" w:eastAsia="仿宋_GB2312" w:cs="仿宋_GB2312"/>
          <w:i w:val="0"/>
          <w:iCs w:val="0"/>
          <w:caps w:val="0"/>
          <w:color w:val="auto"/>
          <w:spacing w:val="0"/>
          <w:sz w:val="32"/>
          <w:szCs w:val="32"/>
          <w:shd w:val="clear" w:color="auto" w:fill="FFFFFF"/>
          <w:lang w:val="en-US" w:eastAsia="zh-CN"/>
        </w:rPr>
        <w:t>镇（街道）</w:t>
      </w:r>
      <w:r>
        <w:rPr>
          <w:rFonts w:hint="eastAsia" w:ascii="仿宋_GB2312" w:hAnsi="仿宋_GB2312" w:eastAsia="仿宋_GB2312" w:cs="仿宋_GB2312"/>
          <w:i w:val="0"/>
          <w:iCs w:val="0"/>
          <w:caps w:val="0"/>
          <w:color w:val="auto"/>
          <w:spacing w:val="0"/>
          <w:sz w:val="32"/>
          <w:szCs w:val="32"/>
          <w:shd w:val="clear" w:color="auto" w:fill="FFFFFF"/>
        </w:rPr>
        <w:t>调动专业、半专业防扑火队伍增援扑火时，由</w:t>
      </w:r>
      <w:r>
        <w:rPr>
          <w:rFonts w:hint="eastAsia" w:ascii="仿宋_GB2312" w:hAnsi="仿宋_GB2312" w:eastAsia="仿宋_GB2312" w:cs="仿宋_GB2312"/>
          <w:i w:val="0"/>
          <w:iCs w:val="0"/>
          <w:caps w:val="0"/>
          <w:color w:val="auto"/>
          <w:spacing w:val="0"/>
          <w:sz w:val="32"/>
          <w:szCs w:val="32"/>
          <w:shd w:val="clear" w:color="auto" w:fill="FFFFFF"/>
          <w:lang w:val="en-US" w:eastAsia="zh-CN"/>
        </w:rPr>
        <w:t>区</w:t>
      </w:r>
      <w:r>
        <w:rPr>
          <w:rFonts w:hint="eastAsia" w:ascii="仿宋_GB2312" w:hAnsi="仿宋_GB2312" w:eastAsia="仿宋_GB2312" w:cs="仿宋_GB2312"/>
          <w:i w:val="0"/>
          <w:iCs w:val="0"/>
          <w:caps w:val="0"/>
          <w:color w:val="auto"/>
          <w:spacing w:val="0"/>
          <w:sz w:val="32"/>
          <w:szCs w:val="32"/>
          <w:shd w:val="clear" w:color="auto" w:fill="FFFFFF"/>
        </w:rPr>
        <w:t>森防指按照就近增援,从低火险区调集的原则，根据发生火情的位置，统筹协调相邻专业（半专业）防扑火队伍增援扑火。</w:t>
      </w:r>
      <w:r>
        <w:rPr>
          <w:rFonts w:hint="eastAsia" w:ascii="仿宋_GB2312" w:hAnsi="仿宋_GB2312" w:eastAsia="仿宋_GB2312" w:cs="仿宋_GB2312"/>
          <w:color w:val="auto"/>
          <w:kern w:val="0"/>
          <w:sz w:val="32"/>
          <w:szCs w:val="32"/>
        </w:rPr>
        <w:t>消防救援</w:t>
      </w:r>
      <w:r>
        <w:rPr>
          <w:rFonts w:hint="eastAsia" w:ascii="仿宋_GB2312" w:hAnsi="仿宋_GB2312" w:eastAsia="仿宋_GB2312" w:cs="仿宋_GB2312"/>
          <w:color w:val="auto"/>
          <w:kern w:val="0"/>
          <w:sz w:val="32"/>
          <w:szCs w:val="32"/>
          <w:lang w:val="en-US" w:eastAsia="zh-CN"/>
        </w:rPr>
        <w:t>大</w:t>
      </w:r>
      <w:r>
        <w:rPr>
          <w:rFonts w:hint="eastAsia" w:ascii="仿宋_GB2312" w:hAnsi="仿宋_GB2312" w:eastAsia="仿宋_GB2312" w:cs="仿宋_GB2312"/>
          <w:color w:val="auto"/>
          <w:kern w:val="0"/>
          <w:sz w:val="32"/>
          <w:szCs w:val="32"/>
        </w:rPr>
        <w:t>队负责组织调动力量参与森林草原火灾扑救以及居民区、重要目标和危险源等保护工作。</w:t>
      </w:r>
      <w:r>
        <w:rPr>
          <w:rFonts w:hint="eastAsia" w:ascii="仿宋_GB2312" w:hAnsi="仿宋_GB2312" w:eastAsia="仿宋_GB2312" w:cs="仿宋_GB2312"/>
          <w:i w:val="0"/>
          <w:iCs w:val="0"/>
          <w:caps w:val="0"/>
          <w:color w:val="auto"/>
          <w:spacing w:val="0"/>
          <w:sz w:val="32"/>
          <w:szCs w:val="32"/>
          <w:shd w:val="clear" w:color="auto" w:fill="FFFFFF"/>
          <w:lang w:val="en-US" w:eastAsia="zh-CN"/>
        </w:rPr>
        <w:t>当需要市森防指</w:t>
      </w:r>
      <w:r>
        <w:rPr>
          <w:rFonts w:hint="eastAsia" w:ascii="仿宋_GB2312" w:hAnsi="仿宋_GB2312" w:eastAsia="仿宋_GB2312" w:cs="仿宋_GB2312"/>
          <w:i w:val="0"/>
          <w:iCs w:val="0"/>
          <w:caps w:val="0"/>
          <w:color w:val="auto"/>
          <w:spacing w:val="0"/>
          <w:sz w:val="32"/>
          <w:szCs w:val="32"/>
          <w:shd w:val="clear" w:color="auto" w:fill="FFFFFF"/>
        </w:rPr>
        <w:t>调动防扑火队伍增援时，由</w:t>
      </w:r>
      <w:r>
        <w:rPr>
          <w:rFonts w:hint="eastAsia" w:ascii="仿宋_GB2312" w:hAnsi="仿宋_GB2312" w:eastAsia="仿宋_GB2312" w:cs="仿宋_GB2312"/>
          <w:i w:val="0"/>
          <w:iCs w:val="0"/>
          <w:caps w:val="0"/>
          <w:color w:val="auto"/>
          <w:spacing w:val="0"/>
          <w:sz w:val="32"/>
          <w:szCs w:val="32"/>
          <w:shd w:val="clear" w:color="auto" w:fill="FFFFFF"/>
          <w:lang w:val="en-US" w:eastAsia="zh-CN"/>
        </w:rPr>
        <w:t>区森防指总指挥</w:t>
      </w:r>
      <w:r>
        <w:rPr>
          <w:rFonts w:hint="eastAsia" w:ascii="仿宋_GB2312" w:hAnsi="仿宋_GB2312" w:eastAsia="仿宋_GB2312" w:cs="仿宋_GB2312"/>
          <w:i w:val="0"/>
          <w:iCs w:val="0"/>
          <w:caps w:val="0"/>
          <w:color w:val="auto"/>
          <w:spacing w:val="0"/>
          <w:sz w:val="32"/>
          <w:szCs w:val="32"/>
          <w:shd w:val="clear" w:color="auto" w:fill="FFFFFF"/>
        </w:rPr>
        <w:t>向</w:t>
      </w:r>
      <w:r>
        <w:rPr>
          <w:rFonts w:hint="eastAsia" w:ascii="仿宋_GB2312" w:hAnsi="仿宋_GB2312" w:eastAsia="仿宋_GB2312" w:cs="仿宋_GB2312"/>
          <w:i w:val="0"/>
          <w:iCs w:val="0"/>
          <w:caps w:val="0"/>
          <w:color w:val="auto"/>
          <w:spacing w:val="0"/>
          <w:sz w:val="32"/>
          <w:szCs w:val="32"/>
          <w:shd w:val="clear" w:color="auto" w:fill="FFFFFF"/>
          <w:lang w:val="en-US" w:eastAsia="zh-CN"/>
        </w:rPr>
        <w:t>市森防指</w:t>
      </w:r>
      <w:r>
        <w:rPr>
          <w:rFonts w:hint="eastAsia" w:ascii="仿宋_GB2312" w:hAnsi="仿宋_GB2312" w:eastAsia="仿宋_GB2312" w:cs="仿宋_GB2312"/>
          <w:i w:val="0"/>
          <w:iCs w:val="0"/>
          <w:caps w:val="0"/>
          <w:color w:val="auto"/>
          <w:spacing w:val="0"/>
          <w:sz w:val="32"/>
          <w:szCs w:val="32"/>
          <w:shd w:val="clear" w:color="auto" w:fill="FFFFFF"/>
        </w:rPr>
        <w:t>提出申请。</w:t>
      </w:r>
    </w:p>
    <w:p>
      <w:pPr>
        <w:keepNext w:val="0"/>
        <w:keepLines w:val="0"/>
        <w:pageBreakBefore w:val="0"/>
        <w:widowControl w:val="0"/>
        <w:kinsoku/>
        <w:wordWrap/>
        <w:overflowPunct/>
        <w:topLinePunct w:val="0"/>
        <w:autoSpaceDE/>
        <w:autoSpaceDN/>
        <w:bidi w:val="0"/>
        <w:snapToGrid/>
        <w:spacing w:line="62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调动解放军和武警部队执行扑火任务时，按照有关规定执行。</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28" w:name="_Toc11344"/>
      <w:r>
        <w:rPr>
          <w:rFonts w:hint="eastAsia" w:ascii="黑体" w:eastAsia="黑体"/>
          <w:bCs/>
          <w:color w:val="auto"/>
          <w:kern w:val="44"/>
          <w:sz w:val="32"/>
          <w:szCs w:val="44"/>
          <w:lang w:val="en-US" w:eastAsia="zh-CN"/>
        </w:rPr>
        <w:t>5 预警和信息报告</w:t>
      </w:r>
      <w:bookmarkEnd w:id="124"/>
      <w:bookmarkEnd w:id="125"/>
      <w:bookmarkEnd w:id="128"/>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29" w:name="_Toc23169"/>
      <w:bookmarkStart w:id="130" w:name="_Toc24331"/>
      <w:bookmarkStart w:id="131" w:name="_Toc26230"/>
      <w:r>
        <w:rPr>
          <w:rFonts w:hint="eastAsia" w:ascii="黑体" w:eastAsia="黑体"/>
          <w:bCs/>
          <w:color w:val="auto"/>
          <w:kern w:val="44"/>
          <w:sz w:val="32"/>
          <w:szCs w:val="44"/>
          <w:lang w:val="en-US" w:eastAsia="zh-CN"/>
        </w:rPr>
        <w:t>5.1 预警</w:t>
      </w:r>
      <w:bookmarkEnd w:id="129"/>
      <w:bookmarkEnd w:id="130"/>
      <w:bookmarkEnd w:id="131"/>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kern w:val="44"/>
          <w:sz w:val="32"/>
          <w:szCs w:val="44"/>
        </w:rPr>
      </w:pPr>
      <w:r>
        <w:rPr>
          <w:rFonts w:hint="eastAsia" w:ascii="仿宋_GB2312" w:hAnsi="仿宋_GB2312" w:eastAsia="仿宋_GB2312" w:cs="仿宋_GB2312"/>
          <w:bCs/>
          <w:color w:val="auto"/>
          <w:kern w:val="44"/>
          <w:sz w:val="32"/>
          <w:szCs w:val="44"/>
          <w:lang w:val="en-US" w:eastAsia="zh-CN"/>
        </w:rPr>
        <w:t>5</w:t>
      </w:r>
      <w:r>
        <w:rPr>
          <w:rFonts w:hint="eastAsia" w:ascii="仿宋_GB2312" w:hAnsi="仿宋_GB2312" w:eastAsia="仿宋_GB2312" w:cs="仿宋_GB2312"/>
          <w:bCs/>
          <w:color w:val="auto"/>
          <w:kern w:val="44"/>
          <w:sz w:val="32"/>
          <w:szCs w:val="44"/>
        </w:rPr>
        <w:t>.1.1 预警分级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根据森林火险等级、火行为特征和可能造成的危害程度，将森林火险预警级别划分为四个等级，由高到低依次用红色、橙色、黄色和蓝色表示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具体预警分级见附件3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5.1.2 预警发布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在市森防指发布预警信息后，</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应急管理</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rPr>
        <w:t>组织林草、公安和气象</w:t>
      </w:r>
      <w:r>
        <w:rPr>
          <w:rFonts w:hint="eastAsia" w:ascii="仿宋_GB2312" w:hAnsi="仿宋_GB2312" w:eastAsia="仿宋_GB2312" w:cs="仿宋_GB2312"/>
          <w:color w:val="auto"/>
          <w:kern w:val="0"/>
          <w:sz w:val="32"/>
          <w:szCs w:val="32"/>
          <w:lang w:val="en-US" w:eastAsia="zh-CN"/>
        </w:rPr>
        <w:t>等</w:t>
      </w:r>
      <w:r>
        <w:rPr>
          <w:rFonts w:hint="eastAsia" w:ascii="仿宋_GB2312" w:hAnsi="仿宋_GB2312" w:eastAsia="仿宋_GB2312" w:cs="仿宋_GB2312"/>
          <w:color w:val="auto"/>
          <w:kern w:val="0"/>
          <w:sz w:val="32"/>
          <w:szCs w:val="32"/>
        </w:rPr>
        <w:t>部门加强会商，联合制作森林草原火险预警信息，并通过预警信息</w:t>
      </w:r>
      <w:r>
        <w:rPr>
          <w:rFonts w:hint="eastAsia" w:ascii="仿宋_GB2312" w:hAnsi="仿宋_GB2312" w:eastAsia="仿宋_GB2312" w:cs="仿宋_GB2312"/>
          <w:color w:val="auto"/>
          <w:kern w:val="0"/>
          <w:sz w:val="32"/>
          <w:szCs w:val="32"/>
          <w:highlight w:val="none"/>
        </w:rPr>
        <w:t>发布平台和广播、电视、报刊、网络、微信公众号以及应急广播等方式向涉险区域相关部门和社</w:t>
      </w:r>
      <w:r>
        <w:rPr>
          <w:rFonts w:hint="eastAsia" w:ascii="仿宋_GB2312" w:hAnsi="仿宋_GB2312" w:eastAsia="仿宋_GB2312" w:cs="仿宋_GB2312"/>
          <w:color w:val="auto"/>
          <w:kern w:val="0"/>
          <w:sz w:val="32"/>
          <w:szCs w:val="32"/>
        </w:rPr>
        <w:t>会公众发布。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5.1.3 预警响应</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宋体" w:hAnsi="宋体" w:eastAsia="仿宋_GB2312" w:cstheme="minorBidi"/>
          <w:color w:val="auto"/>
          <w:kern w:val="2"/>
          <w:sz w:val="32"/>
          <w:szCs w:val="32"/>
        </w:rPr>
        <w:t>当发布蓝色预警信息后，进入四级工作状态：预警地区</w:t>
      </w:r>
      <w:r>
        <w:rPr>
          <w:rFonts w:hint="eastAsia" w:ascii="仿宋_GB2312" w:hAnsi="仿宋_GB2312" w:eastAsia="仿宋_GB2312" w:cs="仿宋_GB2312"/>
          <w:color w:val="auto"/>
          <w:kern w:val="2"/>
          <w:sz w:val="32"/>
          <w:szCs w:val="32"/>
        </w:rPr>
        <w:t>要密切关注天气情况和森林草原火险预警变化，加强森林草原防火巡护、森林草原防火宣传工作，加强火源管理，落实防灭火装备、物资等各项扑火准备；各级防灭火部门实行24小时值班值守，</w:t>
      </w:r>
      <w:r>
        <w:rPr>
          <w:rFonts w:hint="eastAsia" w:ascii="仿宋_GB2312" w:hAnsi="仿宋_GB2312" w:eastAsia="仿宋_GB2312" w:cs="仿宋_GB2312"/>
          <w:color w:val="auto"/>
          <w:kern w:val="2"/>
          <w:sz w:val="32"/>
          <w:szCs w:val="32"/>
          <w:lang w:val="en-US" w:eastAsia="zh-CN"/>
        </w:rPr>
        <w:t>区森防指</w:t>
      </w:r>
      <w:r>
        <w:rPr>
          <w:rFonts w:hint="eastAsia" w:ascii="仿宋_GB2312" w:hAnsi="仿宋_GB2312" w:eastAsia="仿宋_GB2312" w:cs="仿宋_GB2312"/>
          <w:color w:val="auto"/>
          <w:kern w:val="2"/>
          <w:sz w:val="32"/>
          <w:szCs w:val="32"/>
        </w:rPr>
        <w:t>主要领导坚守岗位</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专业、半专业森林草原消防队伍集中食宿，组织对森林草原火灾应急预案进行培训和演练。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当发布黄色预警信息后，进入三级工作状态：在四级工作的基础上，预警地区人民政府分管领导坚守岗位，区</w:t>
      </w:r>
      <w:r>
        <w:rPr>
          <w:rFonts w:hint="eastAsia" w:ascii="宋体" w:hAnsi="宋体" w:eastAsia="仿宋_GB2312" w:cstheme="minorBidi"/>
          <w:color w:val="auto"/>
          <w:kern w:val="2"/>
          <w:sz w:val="32"/>
          <w:szCs w:val="32"/>
          <w:lang w:val="en-US" w:eastAsia="zh-CN"/>
        </w:rPr>
        <w:t>森</w:t>
      </w:r>
      <w:r>
        <w:rPr>
          <w:rFonts w:hint="eastAsia" w:ascii="宋体" w:hAnsi="宋体" w:eastAsia="仿宋_GB2312" w:cstheme="minorBidi"/>
          <w:color w:val="auto"/>
          <w:kern w:val="2"/>
          <w:sz w:val="32"/>
          <w:szCs w:val="32"/>
        </w:rPr>
        <w:t>防指及相关防火部门主要领导亲自带班，加强卫星林火监测信息反馈和瞭望监测，做好预警信息发布，专业扑火队伍靠前布防，各护林站做好巡护工作，各类专业、半专业扑火救援队伍全部进入待命状态，确保接到命令后在30分钟内集合出发。</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当发布橙色预警信息后，进入二级工作状态：在三级工作基础上，区委、区政府分管领导，预警地区镇</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街道</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党委、政府主要领导坚守岗位，进一步加强野外火源管理，开展森林草原防火检查，各护林站加强巡护，护林员坚守包片山头地块密集巡护，加大预警信息播报频度，做好物资调拨准备；各类扑火专业队伍、半专业扑火队伍、应急消防救援大队进入战备状态，确保接到命令后在1</w:t>
      </w:r>
      <w:r>
        <w:rPr>
          <w:rFonts w:hint="eastAsia" w:ascii="宋体" w:hAnsi="宋体" w:eastAsia="仿宋_GB2312" w:cstheme="minorBidi"/>
          <w:color w:val="auto"/>
          <w:kern w:val="2"/>
          <w:sz w:val="32"/>
          <w:szCs w:val="32"/>
          <w:lang w:val="en-US" w:eastAsia="zh-CN"/>
        </w:rPr>
        <w:t>0</w:t>
      </w:r>
      <w:r>
        <w:rPr>
          <w:rFonts w:hint="eastAsia" w:ascii="宋体" w:hAnsi="宋体" w:eastAsia="仿宋_GB2312" w:cstheme="minorBidi"/>
          <w:color w:val="auto"/>
          <w:kern w:val="2"/>
          <w:sz w:val="32"/>
          <w:szCs w:val="32"/>
        </w:rPr>
        <w:t>分钟内集合出发；专家组成员及驻地军队、武警、民兵、预备役部队等做好参与扑火准备；区防火指挥部办公室派出工作组。</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当发布红色预警信息后，进入一级工作状态：在二级工作基础上，区委、区政府、镇</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街道</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党政主要领导坚守岗位，区政府及时发布防火戒严令；各类专业扑火队伍要将灭火机具和给养装备事先装车，人员整装集合待命，进入临战状态，确保接到命令后在5分钟内登车出发；区防火指挥部派出工作组。</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微软雅黑" w:hAnsi="微软雅黑" w:eastAsia="微软雅黑" w:cs="微软雅黑"/>
          <w:color w:val="auto"/>
          <w:sz w:val="16"/>
          <w:szCs w:val="16"/>
        </w:rPr>
      </w:pPr>
      <w:r>
        <w:rPr>
          <w:rFonts w:hint="eastAsia" w:ascii="宋体" w:hAnsi="宋体" w:eastAsia="仿宋_GB2312" w:cstheme="minorBidi"/>
          <w:color w:val="auto"/>
          <w:kern w:val="2"/>
          <w:sz w:val="32"/>
          <w:szCs w:val="32"/>
        </w:rPr>
        <w:t>区森防指视情对预警地区森林草原防灭火工作进行督导和检查</w:t>
      </w:r>
      <w:r>
        <w:rPr>
          <w:rFonts w:hint="eastAsia" w:ascii="微软雅黑" w:hAnsi="微软雅黑" w:eastAsia="微软雅黑" w:cs="微软雅黑"/>
          <w:color w:val="auto"/>
          <w:sz w:val="16"/>
          <w:szCs w:val="16"/>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32" w:name="_Toc18177"/>
      <w:bookmarkStart w:id="133" w:name="_Toc6640"/>
      <w:bookmarkStart w:id="134" w:name="_Toc12763"/>
      <w:r>
        <w:rPr>
          <w:rFonts w:hint="eastAsia" w:ascii="黑体" w:eastAsia="黑体"/>
          <w:bCs/>
          <w:color w:val="auto"/>
          <w:kern w:val="44"/>
          <w:sz w:val="32"/>
          <w:szCs w:val="44"/>
          <w:lang w:val="en-US" w:eastAsia="zh-CN"/>
        </w:rPr>
        <w:t>5.2 预警预报与信息报告</w:t>
      </w:r>
      <w:bookmarkEnd w:id="132"/>
      <w:bookmarkEnd w:id="133"/>
      <w:bookmarkEnd w:id="134"/>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宋体" w:hAnsi="宋体" w:eastAsia="仿宋_GB2312" w:cstheme="minorBidi"/>
          <w:color w:val="auto"/>
          <w:kern w:val="2"/>
          <w:sz w:val="32"/>
          <w:szCs w:val="32"/>
          <w:lang w:eastAsia="zh-CN"/>
        </w:rPr>
      </w:pPr>
      <w:r>
        <w:rPr>
          <w:rFonts w:hint="eastAsia" w:ascii="宋体" w:hAnsi="宋体" w:eastAsia="仿宋_GB2312" w:cstheme="minorBidi"/>
          <w:color w:val="auto"/>
          <w:kern w:val="2"/>
          <w:sz w:val="32"/>
          <w:szCs w:val="32"/>
          <w:lang w:val="en-US" w:eastAsia="zh-CN"/>
        </w:rPr>
        <w:t>成吉思汗大街街道办事处、保和少镇、古路板管理站及相关</w:t>
      </w:r>
      <w:r>
        <w:rPr>
          <w:rFonts w:hint="eastAsia" w:ascii="宋体" w:hAnsi="宋体" w:eastAsia="仿宋_GB2312" w:cstheme="minorBidi"/>
          <w:color w:val="auto"/>
          <w:kern w:val="2"/>
          <w:sz w:val="32"/>
          <w:szCs w:val="32"/>
          <w:highlight w:val="none"/>
          <w:lang w:eastAsia="zh-CN"/>
        </w:rPr>
        <w:t>村（居、社区）</w:t>
      </w:r>
      <w:r>
        <w:rPr>
          <w:rFonts w:hint="eastAsia" w:ascii="宋体" w:hAnsi="宋体" w:eastAsia="仿宋_GB2312" w:cstheme="minorBidi"/>
          <w:color w:val="auto"/>
          <w:kern w:val="2"/>
          <w:sz w:val="32"/>
          <w:szCs w:val="32"/>
        </w:rPr>
        <w:t>要及时、准确、规范报告森林草原火灾信息，及时通报受威胁地区有关单位和相邻行政区域森林草原防灭火指挥机构。对以下森林草原火灾信息，区</w:t>
      </w:r>
      <w:r>
        <w:rPr>
          <w:rFonts w:hint="eastAsia" w:ascii="宋体" w:hAnsi="宋体" w:eastAsia="仿宋_GB2312" w:cstheme="minorBidi"/>
          <w:color w:val="auto"/>
          <w:kern w:val="2"/>
          <w:sz w:val="32"/>
          <w:szCs w:val="32"/>
          <w:lang w:val="en-US" w:eastAsia="zh-CN"/>
        </w:rPr>
        <w:t>森防指</w:t>
      </w:r>
      <w:r>
        <w:rPr>
          <w:rFonts w:hint="eastAsia" w:ascii="宋体" w:hAnsi="宋体" w:eastAsia="仿宋_GB2312" w:cstheme="minorBidi"/>
          <w:color w:val="auto"/>
          <w:kern w:val="2"/>
          <w:sz w:val="32"/>
          <w:szCs w:val="32"/>
        </w:rPr>
        <w:t>办公室及时向区委、区政府和市森林草原防灭火指挥部办公室报告，同时通报指挥部成员单位和相关部门</w:t>
      </w:r>
      <w:r>
        <w:rPr>
          <w:rFonts w:hint="eastAsia" w:ascii="宋体" w:hAnsi="宋体" w:eastAsia="仿宋_GB2312" w:cstheme="minorBidi"/>
          <w:color w:val="auto"/>
          <w:kern w:val="2"/>
          <w:sz w:val="32"/>
          <w:szCs w:val="32"/>
          <w:lang w:eastAsia="zh-CN"/>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（1）一般及以上森林草原火灾；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（2）发生在</w:t>
      </w:r>
      <w:r>
        <w:rPr>
          <w:rFonts w:hint="eastAsia" w:ascii="仿宋_GB2312" w:hAnsi="仿宋_GB2312" w:eastAsia="仿宋_GB2312" w:cs="仿宋_GB2312"/>
          <w:i w:val="0"/>
          <w:iCs w:val="0"/>
          <w:caps w:val="0"/>
          <w:color w:val="auto"/>
          <w:spacing w:val="0"/>
          <w:sz w:val="32"/>
          <w:szCs w:val="32"/>
          <w:shd w:val="clear" w:color="auto" w:fill="FFFFFF"/>
          <w:lang w:val="en-US" w:eastAsia="zh-CN"/>
        </w:rPr>
        <w:t>区</w:t>
      </w:r>
      <w:r>
        <w:rPr>
          <w:rFonts w:hint="eastAsia" w:ascii="仿宋_GB2312" w:hAnsi="仿宋_GB2312" w:eastAsia="仿宋_GB2312" w:cs="仿宋_GB2312"/>
          <w:i w:val="0"/>
          <w:iCs w:val="0"/>
          <w:caps w:val="0"/>
          <w:color w:val="auto"/>
          <w:spacing w:val="0"/>
          <w:sz w:val="32"/>
          <w:szCs w:val="32"/>
          <w:shd w:val="clear" w:color="auto" w:fill="FFFFFF"/>
        </w:rPr>
        <w:t>交界地区危险性大的森林草原火灾；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（3）造成</w:t>
      </w:r>
      <w:r>
        <w:rPr>
          <w:rFonts w:hint="eastAsia" w:ascii="仿宋_GB2312" w:hAnsi="仿宋_GB2312" w:eastAsia="仿宋_GB2312" w:cs="仿宋_GB2312"/>
          <w:i w:val="0"/>
          <w:iCs w:val="0"/>
          <w:caps w:val="0"/>
          <w:color w:val="auto"/>
          <w:spacing w:val="0"/>
          <w:sz w:val="32"/>
          <w:szCs w:val="32"/>
          <w:shd w:val="clear" w:color="auto" w:fill="FFFFFF"/>
          <w:lang w:val="en-US" w:eastAsia="zh-CN"/>
        </w:rPr>
        <w:t>人员</w:t>
      </w:r>
      <w:r>
        <w:rPr>
          <w:rFonts w:hint="eastAsia" w:ascii="仿宋_GB2312" w:hAnsi="仿宋_GB2312" w:eastAsia="仿宋_GB2312" w:cs="仿宋_GB2312"/>
          <w:i w:val="0"/>
          <w:iCs w:val="0"/>
          <w:caps w:val="0"/>
          <w:color w:val="auto"/>
          <w:spacing w:val="0"/>
          <w:sz w:val="32"/>
          <w:szCs w:val="32"/>
          <w:shd w:val="clear" w:color="auto" w:fill="FFFFFF"/>
        </w:rPr>
        <w:t>重伤</w:t>
      </w:r>
      <w:r>
        <w:rPr>
          <w:rFonts w:hint="eastAsia" w:ascii="仿宋_GB2312" w:hAnsi="仿宋_GB2312" w:eastAsia="仿宋_GB2312" w:cs="仿宋_GB2312"/>
          <w:i w:val="0"/>
          <w:iCs w:val="0"/>
          <w:caps w:val="0"/>
          <w:color w:val="auto"/>
          <w:spacing w:val="0"/>
          <w:sz w:val="32"/>
          <w:szCs w:val="32"/>
          <w:shd w:val="clear" w:color="auto" w:fill="FFFFFF"/>
          <w:lang w:val="en-US" w:eastAsia="zh-CN"/>
        </w:rPr>
        <w:t>及死亡</w:t>
      </w:r>
      <w:r>
        <w:rPr>
          <w:rFonts w:hint="eastAsia" w:ascii="仿宋_GB2312" w:hAnsi="仿宋_GB2312" w:eastAsia="仿宋_GB2312" w:cs="仿宋_GB2312"/>
          <w:i w:val="0"/>
          <w:iCs w:val="0"/>
          <w:caps w:val="0"/>
          <w:color w:val="auto"/>
          <w:spacing w:val="0"/>
          <w:sz w:val="32"/>
          <w:szCs w:val="32"/>
          <w:shd w:val="clear" w:color="auto" w:fill="FFFFFF"/>
        </w:rPr>
        <w:t>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（4）威胁居民区和重要设施的森林草原火灾；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（5）发生在森林防火重点单位危险性大的森林草原火灾；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（6）</w:t>
      </w:r>
      <w:r>
        <w:rPr>
          <w:rFonts w:hint="eastAsia" w:ascii="仿宋_GB2312" w:hAnsi="仿宋_GB2312" w:eastAsia="仿宋_GB2312" w:cs="仿宋_GB2312"/>
          <w:i w:val="0"/>
          <w:iCs w:val="0"/>
          <w:caps w:val="0"/>
          <w:color w:val="auto"/>
          <w:spacing w:val="0"/>
          <w:sz w:val="32"/>
          <w:szCs w:val="32"/>
          <w:shd w:val="clear" w:color="auto" w:fill="FFFFFF"/>
          <w:lang w:val="en-US" w:eastAsia="zh-CN"/>
        </w:rPr>
        <w:t>30分钟</w:t>
      </w:r>
      <w:r>
        <w:rPr>
          <w:rFonts w:hint="eastAsia" w:ascii="仿宋_GB2312" w:hAnsi="仿宋_GB2312" w:eastAsia="仿宋_GB2312" w:cs="仿宋_GB2312"/>
          <w:i w:val="0"/>
          <w:iCs w:val="0"/>
          <w:caps w:val="0"/>
          <w:color w:val="auto"/>
          <w:spacing w:val="0"/>
          <w:sz w:val="32"/>
          <w:szCs w:val="32"/>
          <w:shd w:val="clear" w:color="auto" w:fill="FFFFFF"/>
        </w:rPr>
        <w:t>尚未扑灭明火的森林草原火灾；</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其他需要报告的森林草原火灾。</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5.2.1 火灾预警预报</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rPr>
        <w:t>成吉思汗大街街道办事处、保和少镇、古路板管理站及</w:t>
      </w:r>
      <w:r>
        <w:rPr>
          <w:rFonts w:hint="eastAsia" w:ascii="仿宋_GB2312" w:hAnsi="仿宋_GB2312" w:eastAsia="仿宋_GB2312" w:cs="仿宋_GB2312"/>
          <w:color w:val="auto"/>
          <w:kern w:val="2"/>
          <w:sz w:val="32"/>
          <w:szCs w:val="32"/>
        </w:rPr>
        <w:t>有关部门(单位)要及时向区森防指办公室报告各类森林草原火灾信息，区森防</w:t>
      </w:r>
      <w:r>
        <w:rPr>
          <w:rFonts w:hint="eastAsia" w:ascii="仿宋_GB2312" w:hAnsi="仿宋_GB2312" w:eastAsia="仿宋_GB2312" w:cs="仿宋_GB2312"/>
          <w:color w:val="auto"/>
          <w:kern w:val="2"/>
          <w:sz w:val="32"/>
          <w:szCs w:val="32"/>
          <w:lang w:val="en-US" w:eastAsia="zh-CN"/>
        </w:rPr>
        <w:t>指</w:t>
      </w:r>
      <w:r>
        <w:rPr>
          <w:rFonts w:hint="eastAsia" w:ascii="仿宋_GB2312" w:hAnsi="仿宋_GB2312" w:eastAsia="仿宋_GB2312" w:cs="仿宋_GB2312"/>
          <w:color w:val="auto"/>
          <w:kern w:val="2"/>
          <w:sz w:val="32"/>
          <w:szCs w:val="32"/>
        </w:rPr>
        <w:t>办公室与报告火情现场保持实时联络，随时掌握火场动态信息，在第一时间内向区森防指报告。根据火场发展态势，综合研判各方面信息，及时对森林草原火灾做出预警，并向相关单位通报，做好应急救援准备，接到命令迅速组织力量进行扑救。</w:t>
      </w:r>
    </w:p>
    <w:p>
      <w:pPr>
        <w:pStyle w:val="12"/>
        <w:keepNext w:val="0"/>
        <w:keepLines w:val="0"/>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5.2.2 火灾信息处置</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.2.2.1火情信息报告内容：火灾发生的时间、地点、区域概况、火灾造成的损失(包括人员伤亡情况、林木、农作物、牲畜、房屋、重要设施等)、采取措施、扑救人员情况等。</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val="en-US" w:eastAsia="zh-CN"/>
        </w:rPr>
        <w:t>5</w:t>
      </w:r>
      <w:r>
        <w:rPr>
          <w:rFonts w:hint="eastAsia" w:ascii="仿宋_GB2312" w:hAnsi="仿宋_GB2312" w:eastAsia="仿宋_GB2312" w:cs="仿宋_GB2312"/>
          <w:color w:val="auto"/>
          <w:kern w:val="2"/>
          <w:sz w:val="32"/>
          <w:szCs w:val="32"/>
          <w:highlight w:val="none"/>
        </w:rPr>
        <w:t>.2.2.2火情报告</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1</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火情初报。各镇（街</w:t>
      </w:r>
      <w:r>
        <w:rPr>
          <w:rFonts w:hint="eastAsia" w:ascii="仿宋_GB2312" w:hAnsi="仿宋_GB2312" w:eastAsia="仿宋_GB2312" w:cs="仿宋_GB2312"/>
          <w:color w:val="auto"/>
          <w:kern w:val="2"/>
          <w:sz w:val="32"/>
          <w:szCs w:val="32"/>
          <w:highlight w:val="none"/>
          <w:lang w:val="en-US" w:eastAsia="zh-CN"/>
        </w:rPr>
        <w:t>道</w:t>
      </w:r>
      <w:r>
        <w:rPr>
          <w:rFonts w:hint="eastAsia" w:ascii="仿宋_GB2312" w:hAnsi="仿宋_GB2312" w:eastAsia="仿宋_GB2312" w:cs="仿宋_GB2312"/>
          <w:color w:val="auto"/>
          <w:kern w:val="2"/>
          <w:sz w:val="32"/>
          <w:szCs w:val="32"/>
          <w:highlight w:val="none"/>
        </w:rPr>
        <w:t>）和防火相关单位应加强防火各项措施的落实，加强火源管控和巡查巡护，对本行政区域内发生的森林草原火情，应在第一时间发现第一时间采取措施进行扑救；保和少镇、</w:t>
      </w:r>
      <w:r>
        <w:rPr>
          <w:rFonts w:hint="eastAsia" w:ascii="仿宋_GB2312" w:hAnsi="仿宋_GB2312" w:eastAsia="仿宋_GB2312" w:cs="仿宋_GB2312"/>
          <w:color w:val="auto"/>
          <w:kern w:val="2"/>
          <w:sz w:val="32"/>
          <w:szCs w:val="32"/>
          <w:highlight w:val="none"/>
          <w:lang w:eastAsia="zh-CN"/>
        </w:rPr>
        <w:t>成吉思汗大街街道办事处</w:t>
      </w:r>
      <w:r>
        <w:rPr>
          <w:rFonts w:hint="eastAsia" w:ascii="仿宋_GB2312" w:hAnsi="仿宋_GB2312" w:eastAsia="仿宋_GB2312" w:cs="仿宋_GB2312"/>
          <w:color w:val="auto"/>
          <w:kern w:val="2"/>
          <w:sz w:val="32"/>
          <w:szCs w:val="32"/>
          <w:highlight w:val="none"/>
        </w:rPr>
        <w:t>、各村</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rPr>
        <w:t>居、社区</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古路板管理站</w:t>
      </w:r>
      <w:r>
        <w:rPr>
          <w:rFonts w:hint="eastAsia" w:ascii="仿宋_GB2312" w:hAnsi="仿宋_GB2312" w:eastAsia="仿宋_GB2312" w:cs="仿宋_GB2312"/>
          <w:color w:val="auto"/>
          <w:kern w:val="2"/>
          <w:sz w:val="32"/>
          <w:szCs w:val="32"/>
          <w:highlight w:val="none"/>
        </w:rPr>
        <w:t>防火工作人员发现森林草原火情后，立即向所在各</w:t>
      </w:r>
      <w:r>
        <w:rPr>
          <w:rFonts w:hint="eastAsia" w:ascii="仿宋_GB2312" w:hAnsi="仿宋_GB2312" w:eastAsia="仿宋_GB2312" w:cs="仿宋_GB2312"/>
          <w:color w:val="auto"/>
          <w:kern w:val="2"/>
          <w:sz w:val="32"/>
          <w:szCs w:val="32"/>
          <w:highlight w:val="none"/>
          <w:lang w:eastAsia="zh-CN"/>
        </w:rPr>
        <w:t>镇（街道）</w:t>
      </w:r>
      <w:r>
        <w:rPr>
          <w:rFonts w:hint="eastAsia" w:ascii="仿宋_GB2312" w:hAnsi="仿宋_GB2312" w:eastAsia="仿宋_GB2312" w:cs="仿宋_GB2312"/>
          <w:color w:val="auto"/>
          <w:kern w:val="2"/>
          <w:sz w:val="32"/>
          <w:szCs w:val="32"/>
          <w:highlight w:val="none"/>
        </w:rPr>
        <w:t>、林场的防火负责人电话报告，并同时报火警电话；各镇（街</w:t>
      </w:r>
      <w:r>
        <w:rPr>
          <w:rFonts w:hint="eastAsia" w:ascii="仿宋_GB2312" w:hAnsi="仿宋_GB2312" w:eastAsia="仿宋_GB2312" w:cs="仿宋_GB2312"/>
          <w:color w:val="auto"/>
          <w:kern w:val="2"/>
          <w:sz w:val="32"/>
          <w:szCs w:val="32"/>
          <w:highlight w:val="none"/>
          <w:lang w:val="en-US" w:eastAsia="zh-CN"/>
        </w:rPr>
        <w:t>道</w:t>
      </w:r>
      <w:r>
        <w:rPr>
          <w:rFonts w:hint="eastAsia" w:ascii="仿宋_GB2312" w:hAnsi="仿宋_GB2312" w:eastAsia="仿宋_GB2312" w:cs="仿宋_GB2312"/>
          <w:color w:val="auto"/>
          <w:kern w:val="2"/>
          <w:sz w:val="32"/>
          <w:szCs w:val="32"/>
          <w:highlight w:val="none"/>
        </w:rPr>
        <w:t>）、林场接到森林草原火情报警后迅速核实，及时将所了解的情况报防火指挥中心，指挥中心接警后，立即通知区森防指办公室报告初步情况；区森防指办公室在接到报告后，与火灾现场指挥部建立通讯联络，及时掌握火场动态信息，同时上报区森防指，并做好火情动态记录登记，并对初期火灾的扑救给予指导；区森防指接警后，根据火情性质、威胁危害程度和范围，立即启动相应预案。</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highlight w:val="none"/>
        </w:rPr>
      </w:pPr>
      <w:r>
        <w:rPr>
          <w:rFonts w:hint="eastAsia" w:ascii="宋体" w:hAnsi="宋体" w:eastAsia="仿宋_GB2312" w:cstheme="minorBidi"/>
          <w:color w:val="auto"/>
          <w:kern w:val="2"/>
          <w:sz w:val="32"/>
          <w:szCs w:val="32"/>
          <w:highlight w:val="none"/>
          <w:lang w:eastAsia="zh-CN"/>
        </w:rPr>
        <w:t>（</w:t>
      </w:r>
      <w:r>
        <w:rPr>
          <w:rFonts w:hint="eastAsia" w:ascii="宋体" w:hAnsi="宋体" w:eastAsia="仿宋_GB2312" w:cstheme="minorBidi"/>
          <w:color w:val="auto"/>
          <w:kern w:val="2"/>
          <w:sz w:val="32"/>
          <w:szCs w:val="32"/>
          <w:highlight w:val="none"/>
          <w:lang w:val="en-US" w:eastAsia="zh-CN"/>
        </w:rPr>
        <w:t>2</w:t>
      </w:r>
      <w:r>
        <w:rPr>
          <w:rFonts w:hint="eastAsia" w:ascii="宋体" w:hAnsi="宋体" w:eastAsia="仿宋_GB2312" w:cstheme="minorBidi"/>
          <w:color w:val="auto"/>
          <w:kern w:val="2"/>
          <w:sz w:val="32"/>
          <w:szCs w:val="32"/>
          <w:highlight w:val="none"/>
          <w:lang w:eastAsia="zh-CN"/>
        </w:rPr>
        <w:t>）</w:t>
      </w:r>
      <w:r>
        <w:rPr>
          <w:rFonts w:hint="eastAsia" w:ascii="宋体" w:hAnsi="宋体" w:eastAsia="仿宋_GB2312" w:cstheme="minorBidi"/>
          <w:color w:val="auto"/>
          <w:kern w:val="2"/>
          <w:sz w:val="32"/>
          <w:szCs w:val="32"/>
          <w:highlight w:val="none"/>
        </w:rPr>
        <w:t>火情续报。在森林草原火灾明火未完全扑灭前，实行24小时报告制度，每间隔</w:t>
      </w:r>
      <w:r>
        <w:rPr>
          <w:rFonts w:hint="eastAsia" w:ascii="宋体" w:hAnsi="宋体" w:eastAsia="仿宋_GB2312" w:cstheme="minorBidi"/>
          <w:color w:val="auto"/>
          <w:kern w:val="2"/>
          <w:sz w:val="32"/>
          <w:szCs w:val="32"/>
          <w:highlight w:val="none"/>
          <w:lang w:val="en-US" w:eastAsia="zh-CN"/>
        </w:rPr>
        <w:t>1</w:t>
      </w:r>
      <w:r>
        <w:rPr>
          <w:rFonts w:hint="eastAsia" w:ascii="宋体" w:hAnsi="宋体" w:eastAsia="仿宋_GB2312" w:cstheme="minorBidi"/>
          <w:color w:val="auto"/>
          <w:kern w:val="2"/>
          <w:sz w:val="32"/>
          <w:szCs w:val="32"/>
          <w:highlight w:val="none"/>
        </w:rPr>
        <w:t>小时向区森防指办公室报告火情最新动向；区森防指在每日10时前向区委、政府和</w:t>
      </w:r>
      <w:r>
        <w:rPr>
          <w:rFonts w:hint="eastAsia" w:ascii="宋体" w:hAnsi="宋体" w:eastAsia="仿宋_GB2312" w:cstheme="minorBidi"/>
          <w:color w:val="auto"/>
          <w:kern w:val="2"/>
          <w:sz w:val="32"/>
          <w:szCs w:val="32"/>
          <w:highlight w:val="none"/>
          <w:lang w:val="en-US" w:eastAsia="zh-CN"/>
        </w:rPr>
        <w:t>市</w:t>
      </w:r>
      <w:r>
        <w:rPr>
          <w:rFonts w:hint="eastAsia" w:ascii="宋体" w:hAnsi="宋体" w:eastAsia="仿宋_GB2312" w:cstheme="minorBidi"/>
          <w:color w:val="auto"/>
          <w:kern w:val="2"/>
          <w:sz w:val="32"/>
          <w:szCs w:val="32"/>
          <w:highlight w:val="none"/>
        </w:rPr>
        <w:t>森林草原防灭火指挥部报告。较大、重大、特别重大森林草原火灾随时报告。</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color w:val="auto"/>
          <w:highlight w:val="none"/>
        </w:rPr>
      </w:pPr>
      <w:r>
        <w:rPr>
          <w:rFonts w:hint="eastAsia" w:ascii="宋体" w:hAnsi="宋体" w:eastAsia="仿宋_GB2312" w:cstheme="minorBidi"/>
          <w:color w:val="auto"/>
          <w:kern w:val="2"/>
          <w:sz w:val="32"/>
          <w:szCs w:val="32"/>
          <w:highlight w:val="none"/>
          <w:lang w:eastAsia="zh-CN"/>
        </w:rPr>
        <w:t>（</w:t>
      </w:r>
      <w:r>
        <w:rPr>
          <w:rFonts w:hint="eastAsia" w:ascii="宋体" w:hAnsi="宋体" w:eastAsia="仿宋_GB2312" w:cstheme="minorBidi"/>
          <w:color w:val="auto"/>
          <w:kern w:val="2"/>
          <w:sz w:val="32"/>
          <w:szCs w:val="32"/>
          <w:highlight w:val="none"/>
          <w:lang w:val="en-US" w:eastAsia="zh-CN"/>
        </w:rPr>
        <w:t>3</w:t>
      </w:r>
      <w:r>
        <w:rPr>
          <w:rFonts w:hint="eastAsia" w:ascii="宋体" w:hAnsi="宋体" w:eastAsia="仿宋_GB2312" w:cstheme="minorBidi"/>
          <w:color w:val="auto"/>
          <w:kern w:val="2"/>
          <w:sz w:val="32"/>
          <w:szCs w:val="32"/>
          <w:highlight w:val="none"/>
          <w:lang w:eastAsia="zh-CN"/>
        </w:rPr>
        <w:t>）</w:t>
      </w:r>
      <w:r>
        <w:rPr>
          <w:rFonts w:hint="eastAsia" w:ascii="宋体" w:hAnsi="宋体" w:eastAsia="仿宋_GB2312" w:cstheme="minorBidi"/>
          <w:color w:val="auto"/>
          <w:kern w:val="2"/>
          <w:sz w:val="32"/>
          <w:szCs w:val="32"/>
          <w:highlight w:val="none"/>
        </w:rPr>
        <w:t>火灾核报。各</w:t>
      </w:r>
      <w:r>
        <w:rPr>
          <w:rFonts w:hint="eastAsia" w:ascii="宋体" w:hAnsi="宋体" w:eastAsia="仿宋_GB2312" w:cstheme="minorBidi"/>
          <w:color w:val="auto"/>
          <w:kern w:val="2"/>
          <w:sz w:val="32"/>
          <w:szCs w:val="32"/>
          <w:highlight w:val="none"/>
          <w:lang w:eastAsia="zh-CN"/>
        </w:rPr>
        <w:t>镇（街道）</w:t>
      </w:r>
      <w:r>
        <w:rPr>
          <w:rFonts w:hint="eastAsia" w:ascii="宋体" w:hAnsi="宋体" w:eastAsia="仿宋_GB2312" w:cstheme="minorBidi"/>
          <w:color w:val="auto"/>
          <w:kern w:val="2"/>
          <w:sz w:val="32"/>
          <w:szCs w:val="32"/>
          <w:highlight w:val="none"/>
        </w:rPr>
        <w:t>及防火相关单位或森林草原防灭火指挥机构在火灾被完全扑灭1个工作日内核定灾情，并以书面上报区森防指办公室，区森防指办公室接到报告后，2个工作日内审核、汇总灾情数据存档，并向区委、政府报告。</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35" w:name="_Toc8020"/>
      <w:bookmarkStart w:id="136" w:name="_Toc10439"/>
      <w:bookmarkStart w:id="137" w:name="_Toc493"/>
      <w:r>
        <w:rPr>
          <w:rFonts w:hint="eastAsia" w:ascii="黑体" w:eastAsia="黑体"/>
          <w:bCs/>
          <w:color w:val="auto"/>
          <w:kern w:val="44"/>
          <w:sz w:val="32"/>
          <w:szCs w:val="44"/>
          <w:lang w:val="en-US" w:eastAsia="zh-CN"/>
        </w:rPr>
        <w:t>6 应急响应</w:t>
      </w:r>
      <w:bookmarkEnd w:id="135"/>
      <w:bookmarkEnd w:id="136"/>
      <w:bookmarkEnd w:id="137"/>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38" w:name="_Toc17301"/>
      <w:bookmarkStart w:id="139" w:name="_Toc2597"/>
      <w:bookmarkStart w:id="140" w:name="_Toc12061"/>
      <w:r>
        <w:rPr>
          <w:rFonts w:hint="eastAsia" w:ascii="黑体" w:eastAsia="黑体"/>
          <w:bCs/>
          <w:color w:val="auto"/>
          <w:kern w:val="44"/>
          <w:sz w:val="32"/>
          <w:szCs w:val="44"/>
          <w:lang w:val="en-US" w:eastAsia="zh-CN"/>
        </w:rPr>
        <w:t>6.1 分级响应</w:t>
      </w:r>
      <w:bookmarkEnd w:id="138"/>
      <w:bookmarkEnd w:id="139"/>
      <w:bookmarkEnd w:id="140"/>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highlight w:val="none"/>
        </w:rPr>
      </w:pPr>
      <w:r>
        <w:rPr>
          <w:rFonts w:hint="eastAsia" w:ascii="宋体" w:hAnsi="宋体" w:eastAsia="仿宋_GB2312" w:cstheme="minorBidi"/>
          <w:color w:val="auto"/>
          <w:kern w:val="2"/>
          <w:sz w:val="32"/>
          <w:szCs w:val="32"/>
          <w:highlight w:val="none"/>
        </w:rPr>
        <w:t>森林草原火灾扑救工作以火灾发生地单位为主。火灾发生后，各地和相关部门要按照“分级管理、各司其职、密切配合”的原则，第一时间采取应急处置措施，全力做好森林草原火灾的扑救工作，最大限度地减少广大人民群众生命财产损失</w:t>
      </w:r>
      <w:r>
        <w:rPr>
          <w:rFonts w:hint="eastAsia" w:ascii="宋体" w:hAnsi="宋体" w:eastAsia="仿宋_GB2312" w:cstheme="minorBidi"/>
          <w:color w:val="auto"/>
          <w:kern w:val="2"/>
          <w:sz w:val="32"/>
          <w:szCs w:val="32"/>
          <w:highlight w:val="none"/>
          <w:lang w:eastAsia="zh-CN"/>
        </w:rPr>
        <w:t>。</w:t>
      </w:r>
      <w:r>
        <w:rPr>
          <w:rFonts w:hint="eastAsia" w:ascii="宋体" w:hAnsi="宋体" w:eastAsia="仿宋_GB2312" w:cstheme="minorBidi"/>
          <w:color w:val="auto"/>
          <w:kern w:val="2"/>
          <w:sz w:val="32"/>
          <w:szCs w:val="32"/>
          <w:highlight w:val="none"/>
        </w:rPr>
        <w:t>森林草原火灾</w:t>
      </w:r>
      <w:r>
        <w:rPr>
          <w:rFonts w:hint="eastAsia" w:ascii="宋体" w:hAnsi="宋体" w:eastAsia="仿宋_GB2312" w:cstheme="minorBidi"/>
          <w:color w:val="auto"/>
          <w:kern w:val="2"/>
          <w:sz w:val="32"/>
          <w:szCs w:val="32"/>
          <w:highlight w:val="none"/>
          <w:lang w:val="en-US" w:eastAsia="zh-CN"/>
        </w:rPr>
        <w:t>发生后</w:t>
      </w:r>
      <w:r>
        <w:rPr>
          <w:rFonts w:hint="eastAsia" w:ascii="宋体" w:hAnsi="宋体" w:eastAsia="仿宋_GB2312" w:cstheme="minorBidi"/>
          <w:color w:val="auto"/>
          <w:kern w:val="2"/>
          <w:sz w:val="32"/>
          <w:szCs w:val="32"/>
          <w:highlight w:val="none"/>
        </w:rPr>
        <w:t>由</w:t>
      </w:r>
      <w:r>
        <w:rPr>
          <w:rFonts w:hint="eastAsia" w:ascii="宋体" w:hAnsi="宋体" w:eastAsia="仿宋_GB2312" w:cstheme="minorBidi"/>
          <w:color w:val="auto"/>
          <w:kern w:val="2"/>
          <w:sz w:val="32"/>
          <w:szCs w:val="32"/>
          <w:highlight w:val="none"/>
          <w:lang w:val="en-US" w:eastAsia="zh-CN"/>
        </w:rPr>
        <w:t>事发区域主管单位先期处置，并报区森防指，</w:t>
      </w:r>
      <w:r>
        <w:rPr>
          <w:rFonts w:hint="eastAsia" w:ascii="宋体" w:hAnsi="宋体" w:eastAsia="仿宋_GB2312" w:cstheme="minorBidi"/>
          <w:color w:val="auto"/>
          <w:kern w:val="2"/>
          <w:sz w:val="32"/>
          <w:szCs w:val="32"/>
          <w:highlight w:val="none"/>
        </w:rPr>
        <w:t>由区森防指负责指挥扑救；预判发生较大森林草原火灾</w:t>
      </w:r>
      <w:r>
        <w:rPr>
          <w:rFonts w:hint="default" w:ascii="宋体" w:hAnsi="宋体" w:eastAsia="仿宋_GB2312" w:cstheme="minorBidi"/>
          <w:color w:val="auto"/>
          <w:kern w:val="2"/>
          <w:sz w:val="32"/>
          <w:szCs w:val="32"/>
          <w:highlight w:val="none"/>
        </w:rPr>
        <w:t>,</w:t>
      </w:r>
      <w:r>
        <w:rPr>
          <w:rFonts w:hint="eastAsia" w:ascii="宋体" w:hAnsi="宋体" w:eastAsia="仿宋_GB2312" w:cstheme="minorBidi"/>
          <w:color w:val="auto"/>
          <w:kern w:val="2"/>
          <w:sz w:val="32"/>
          <w:szCs w:val="32"/>
          <w:highlight w:val="none"/>
        </w:rPr>
        <w:t>报请市森防指组织处置；预判重大、特别重大森林草原火灾报请</w:t>
      </w:r>
      <w:r>
        <w:rPr>
          <w:rFonts w:hint="eastAsia" w:ascii="宋体" w:hAnsi="宋体" w:eastAsia="仿宋_GB2312" w:cstheme="minorBidi"/>
          <w:color w:val="auto"/>
          <w:kern w:val="2"/>
          <w:sz w:val="32"/>
          <w:szCs w:val="32"/>
          <w:highlight w:val="none"/>
          <w:lang w:val="en-US" w:eastAsia="zh-CN"/>
        </w:rPr>
        <w:t>自治区</w:t>
      </w:r>
      <w:r>
        <w:rPr>
          <w:rFonts w:hint="eastAsia" w:ascii="宋体" w:hAnsi="宋体" w:eastAsia="仿宋_GB2312" w:cstheme="minorBidi"/>
          <w:color w:val="auto"/>
          <w:kern w:val="2"/>
          <w:sz w:val="32"/>
          <w:szCs w:val="32"/>
          <w:highlight w:val="none"/>
        </w:rPr>
        <w:t>森防指组织处置；必要时</w:t>
      </w:r>
      <w:r>
        <w:rPr>
          <w:rFonts w:hint="default" w:ascii="宋体" w:hAnsi="宋体" w:eastAsia="仿宋_GB2312" w:cstheme="minorBidi"/>
          <w:color w:val="auto"/>
          <w:kern w:val="2"/>
          <w:sz w:val="32"/>
          <w:szCs w:val="32"/>
          <w:highlight w:val="none"/>
        </w:rPr>
        <w:t>,</w:t>
      </w:r>
      <w:r>
        <w:rPr>
          <w:rFonts w:hint="eastAsia" w:ascii="宋体" w:hAnsi="宋体" w:eastAsia="仿宋_GB2312" w:cstheme="minorBidi"/>
          <w:color w:val="auto"/>
          <w:kern w:val="2"/>
          <w:sz w:val="32"/>
          <w:szCs w:val="32"/>
          <w:highlight w:val="none"/>
        </w:rPr>
        <w:t>及时提高响应级别。</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41" w:name="_Toc31508"/>
      <w:bookmarkStart w:id="142" w:name="_Toc28474"/>
      <w:bookmarkStart w:id="143" w:name="_Toc6818"/>
      <w:r>
        <w:rPr>
          <w:rFonts w:hint="eastAsia" w:ascii="黑体" w:eastAsia="黑体"/>
          <w:bCs/>
          <w:color w:val="auto"/>
          <w:kern w:val="44"/>
          <w:sz w:val="32"/>
          <w:szCs w:val="44"/>
          <w:lang w:val="en-US" w:eastAsia="zh-CN"/>
        </w:rPr>
        <w:t>6.2 响应措施</w:t>
      </w:r>
      <w:bookmarkEnd w:id="141"/>
      <w:bookmarkEnd w:id="142"/>
      <w:bookmarkEnd w:id="143"/>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rPr>
      </w:pPr>
      <w:r>
        <w:rPr>
          <w:rFonts w:hint="eastAsia" w:ascii="仿宋_GB2312" w:hAnsi="仿宋_GB2312" w:eastAsia="仿宋_GB2312" w:cs="仿宋_GB2312"/>
          <w:bCs/>
          <w:color w:val="auto"/>
          <w:kern w:val="44"/>
          <w:sz w:val="32"/>
          <w:szCs w:val="44"/>
          <w:lang w:val="en-US" w:eastAsia="zh-CN"/>
        </w:rPr>
        <w:t>6</w:t>
      </w:r>
      <w:r>
        <w:rPr>
          <w:rFonts w:hint="eastAsia" w:ascii="仿宋_GB2312" w:hAnsi="仿宋_GB2312" w:eastAsia="仿宋_GB2312" w:cs="仿宋_GB2312"/>
          <w:bCs/>
          <w:color w:val="auto"/>
          <w:kern w:val="44"/>
          <w:sz w:val="32"/>
          <w:szCs w:val="44"/>
        </w:rPr>
        <w:t>.2.1 扑救火灾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default" w:ascii="Times New Roman" w:hAnsi="Times New Roman" w:cs="Times New Roman"/>
          <w:i w:val="0"/>
          <w:iCs w:val="0"/>
          <w:caps w:val="0"/>
          <w:color w:val="auto"/>
          <w:spacing w:val="0"/>
          <w:sz w:val="32"/>
          <w:szCs w:val="32"/>
        </w:rPr>
      </w:pPr>
      <w:r>
        <w:rPr>
          <w:rFonts w:ascii="仿宋_GB2312" w:hAnsi="Times New Roman" w:eastAsia="仿宋_GB2312" w:cs="仿宋_GB2312"/>
          <w:i w:val="0"/>
          <w:iCs w:val="0"/>
          <w:caps w:val="0"/>
          <w:color w:val="auto"/>
          <w:spacing w:val="0"/>
          <w:sz w:val="32"/>
          <w:szCs w:val="32"/>
          <w:shd w:val="clear" w:fill="FFFFFF"/>
        </w:rPr>
        <w:t>立即就地就近组织专业、半专业防扑火队伍、消防救援队伍</w:t>
      </w:r>
      <w:r>
        <w:rPr>
          <w:rFonts w:hint="eastAsia" w:ascii="仿宋_GB2312" w:hAnsi="Times New Roman" w:eastAsia="仿宋_GB2312" w:cs="仿宋_GB2312"/>
          <w:i w:val="0"/>
          <w:iCs w:val="0"/>
          <w:caps w:val="0"/>
          <w:color w:val="auto"/>
          <w:spacing w:val="0"/>
          <w:sz w:val="32"/>
          <w:szCs w:val="32"/>
          <w:shd w:val="clear" w:fill="FFFFFF"/>
          <w:lang w:eastAsia="zh-CN"/>
        </w:rPr>
        <w:t>、内蒙古森林消防总队特勤大队</w:t>
      </w:r>
      <w:r>
        <w:rPr>
          <w:rFonts w:ascii="仿宋_GB2312" w:hAnsi="Times New Roman" w:eastAsia="仿宋_GB2312" w:cs="仿宋_GB2312"/>
          <w:i w:val="0"/>
          <w:iCs w:val="0"/>
          <w:caps w:val="0"/>
          <w:color w:val="auto"/>
          <w:spacing w:val="0"/>
          <w:sz w:val="32"/>
          <w:szCs w:val="32"/>
          <w:shd w:val="clear" w:fill="FFFFFF"/>
        </w:rPr>
        <w:t>等力量参与扑救，力争将火灾扑灭在初起阶段。必要时，组织协调当地解放军和武警部队等救援力量参与扑救。</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atLeas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i w:val="0"/>
          <w:iCs w:val="0"/>
          <w:caps w:val="0"/>
          <w:color w:val="auto"/>
          <w:spacing w:val="0"/>
          <w:sz w:val="32"/>
          <w:szCs w:val="32"/>
          <w:shd w:val="clear" w:fill="FFFFFF"/>
        </w:rPr>
        <w:t>各扑火力量在火场前线指挥部的统一调度指挥下，明确任务分工，落实扑救责任，科学组织扑救，在确保扑火人员安全情况下，迅速有序开展扑救工作，严防各类次生灾害发生。现场指挥员要认真分析地理环境、气象条件和火场态势，在扑火队伍行进、宿营地选择和扑火作业时，加强火场管理，时刻注意观察天气和火势变化，提前预设紧急避险措施，确保各类扑火人员安全。不得动员残疾人、孕妇和未成年人以及其他不适宜参加森林草原火灾扑救的人员参加扑救工作。</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6.2.2 转移安置人员</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当居民点、人员密集区受到森林草原火灾威胁时，及时采取有效阻火措施，制定紧急疏散方案，有组织、有秩序地及时疏散居民、受威胁人员，确保人民群众生命安全，妥善做好转移群众安置工作。</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6.2.3 救治伤员</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迅速将受伤人员送医院治疗，必要时对重伤员实施异地救治。视情派出卫生应急队伍赶赴火灾发生地，成立临时医院或医疗点，实施现场救治。</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6.2.4 善后处置</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做好遇难人员的善后工作，抚慰遇难者家属。对因扑救森林草原火灾负伤、致残或者死亡的人员，按照国家有关规定给予医疗、抚恤。</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6.2.5 保护重要目标</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当军事设施、危险化学品生产储存设备等重要目标物和重大危险源受到森林草原火灾威胁时，迅速调集专业队伍，全力消除威胁</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组织抢救、运送、转移重要物资</w:t>
      </w:r>
      <w:r>
        <w:rPr>
          <w:rFonts w:hint="default" w:ascii="宋体" w:hAnsi="宋体" w:eastAsia="仿宋_GB2312" w:cstheme="minorBidi"/>
          <w:color w:val="auto"/>
          <w:kern w:val="2"/>
          <w:sz w:val="32"/>
          <w:szCs w:val="32"/>
        </w:rPr>
        <w:t>,</w:t>
      </w:r>
      <w:r>
        <w:rPr>
          <w:rFonts w:hint="eastAsia" w:ascii="宋体" w:hAnsi="宋体" w:eastAsia="仿宋_GB2312" w:cstheme="minorBidi"/>
          <w:color w:val="auto"/>
          <w:kern w:val="2"/>
          <w:sz w:val="32"/>
          <w:szCs w:val="32"/>
        </w:rPr>
        <w:t>确保目标安全。</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6.2.6 维护社会治安</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微软雅黑" w:hAnsi="微软雅黑" w:eastAsia="微软雅黑" w:cs="微软雅黑"/>
          <w:color w:val="auto"/>
          <w:sz w:val="16"/>
          <w:szCs w:val="16"/>
        </w:rPr>
      </w:pPr>
      <w:r>
        <w:rPr>
          <w:rFonts w:hint="eastAsia" w:ascii="宋体" w:hAnsi="宋体" w:eastAsia="仿宋_GB2312" w:cstheme="minorBidi"/>
          <w:color w:val="auto"/>
          <w:kern w:val="2"/>
          <w:sz w:val="32"/>
          <w:szCs w:val="32"/>
        </w:rPr>
        <w:t>加强森林草原火灾受影响区域的社会治安管理，严厉打击借机盗窃、抢劫、哄抢救灾物资、传播谣言等违法犯罪行为。必要时，有关部门在金融单位、储备仓库等重要场所加强治安巡逻，维护社会稳定</w:t>
      </w:r>
      <w:r>
        <w:rPr>
          <w:rFonts w:hint="eastAsia" w:ascii="宋体" w:hAnsi="宋体" w:eastAsia="仿宋_GB2312" w:cstheme="minorBidi"/>
          <w:color w:val="auto"/>
          <w:kern w:val="2"/>
          <w:sz w:val="32"/>
          <w:szCs w:val="32"/>
          <w:lang w:eastAsia="zh-CN"/>
        </w:rPr>
        <w:t>。</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6.2.7 火案查处</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一旦有森林草原火灾发生，</w:t>
      </w:r>
      <w:r>
        <w:rPr>
          <w:rFonts w:hint="eastAsia" w:ascii="宋体" w:hAnsi="宋体" w:eastAsia="仿宋_GB2312" w:cstheme="minorBidi"/>
          <w:color w:val="auto"/>
          <w:kern w:val="2"/>
          <w:sz w:val="32"/>
          <w:szCs w:val="32"/>
          <w:lang w:val="en-US" w:eastAsia="zh-CN"/>
        </w:rPr>
        <w:t>公安分局</w:t>
      </w:r>
      <w:r>
        <w:rPr>
          <w:rFonts w:hint="eastAsia" w:ascii="宋体" w:hAnsi="宋体" w:eastAsia="仿宋_GB2312" w:cstheme="minorBidi"/>
          <w:color w:val="auto"/>
          <w:kern w:val="2"/>
          <w:sz w:val="32"/>
          <w:szCs w:val="32"/>
        </w:rPr>
        <w:t>应第一时间赶赴现场，维护火场秩序、调查取证、控制肇事者、扑救火灾。区森防指及时组织相关力量进行依法查处。</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6.2.8 发布信息</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火灾发生后，</w:t>
      </w:r>
      <w:r>
        <w:rPr>
          <w:rFonts w:hint="eastAsia" w:ascii="宋体" w:hAnsi="宋体" w:eastAsia="仿宋_GB2312" w:cstheme="minorBidi"/>
          <w:color w:val="auto"/>
          <w:kern w:val="2"/>
          <w:sz w:val="32"/>
          <w:szCs w:val="32"/>
          <w:lang w:val="en-US" w:eastAsia="zh-CN"/>
        </w:rPr>
        <w:t>区森防指挥</w:t>
      </w:r>
      <w:r>
        <w:rPr>
          <w:rFonts w:hint="eastAsia" w:ascii="宋体" w:hAnsi="宋体" w:eastAsia="仿宋_GB2312" w:cstheme="minorBidi"/>
          <w:color w:val="auto"/>
          <w:kern w:val="2"/>
          <w:sz w:val="32"/>
          <w:szCs w:val="32"/>
        </w:rPr>
        <w:t>部严格按照国家森林草原火灾信息发布有关规定，及时、准确、客观向社会发布。</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6.2.9 火场清理</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森林草原火灾扑灭后，继续组织扑火人员做好余火清理工作，划分责任区域，并留足人员看守火场。经检查验收，达到无火、无烟、无气后，扑火人员方可撤离。</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lang w:val="en-US" w:eastAsia="zh-CN" w:bidi="ar-SA"/>
        </w:rPr>
      </w:pPr>
      <w:r>
        <w:rPr>
          <w:rFonts w:hint="eastAsia" w:ascii="仿宋_GB2312" w:hAnsi="仿宋_GB2312" w:eastAsia="仿宋_GB2312" w:cs="仿宋_GB2312"/>
          <w:bCs/>
          <w:color w:val="auto"/>
          <w:kern w:val="44"/>
          <w:sz w:val="32"/>
          <w:szCs w:val="44"/>
          <w:lang w:val="en-US" w:eastAsia="zh-CN" w:bidi="ar-SA"/>
        </w:rPr>
        <w:t>6.2.10 应急结束</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color w:val="auto"/>
        </w:rPr>
      </w:pPr>
      <w:r>
        <w:rPr>
          <w:rFonts w:hint="eastAsia" w:ascii="宋体" w:hAnsi="宋体" w:eastAsia="仿宋_GB2312" w:cstheme="minorBidi"/>
          <w:color w:val="auto"/>
          <w:kern w:val="2"/>
          <w:sz w:val="32"/>
          <w:szCs w:val="32"/>
        </w:rPr>
        <w:t>在森林草原火灾全部扑灭、火场清理验收合格后，由启动应急响应的原机构决定终止应急响应。</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44" w:name="_Toc14384"/>
      <w:bookmarkStart w:id="145" w:name="_Toc9218"/>
      <w:bookmarkStart w:id="146" w:name="_Toc28847"/>
      <w:r>
        <w:rPr>
          <w:rFonts w:hint="eastAsia" w:ascii="黑体" w:eastAsia="黑体"/>
          <w:bCs/>
          <w:color w:val="auto"/>
          <w:kern w:val="44"/>
          <w:sz w:val="32"/>
          <w:szCs w:val="44"/>
          <w:lang w:val="en-US" w:eastAsia="zh-CN"/>
        </w:rPr>
        <w:t>7 区级层面应对工作</w:t>
      </w:r>
      <w:bookmarkEnd w:id="144"/>
      <w:bookmarkEnd w:id="145"/>
      <w:bookmarkEnd w:id="146"/>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森林草原火灾发生后，根据火灾严重程度、火场发展态势和当地扑救情况，区级层面应对工作由低到高设定Ⅲ级、Ⅱ级、Ⅰ级</w:t>
      </w:r>
      <w:r>
        <w:rPr>
          <w:rFonts w:hint="eastAsia" w:ascii="仿宋_GB2312" w:hAnsi="仿宋_GB2312" w:eastAsia="仿宋_GB2312" w:cs="仿宋_GB2312"/>
          <w:color w:val="auto"/>
          <w:kern w:val="2"/>
          <w:sz w:val="32"/>
          <w:szCs w:val="32"/>
          <w:lang w:val="en-US" w:eastAsia="zh-CN"/>
        </w:rPr>
        <w:t>三</w:t>
      </w:r>
      <w:r>
        <w:rPr>
          <w:rFonts w:hint="eastAsia" w:ascii="仿宋_GB2312" w:hAnsi="仿宋_GB2312" w:eastAsia="仿宋_GB2312" w:cs="仿宋_GB2312"/>
          <w:color w:val="auto"/>
          <w:kern w:val="2"/>
          <w:sz w:val="32"/>
          <w:szCs w:val="32"/>
        </w:rPr>
        <w:t>个响应等级。</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47" w:name="_Toc18020"/>
      <w:bookmarkStart w:id="148" w:name="_Toc31063"/>
      <w:bookmarkStart w:id="149" w:name="_Toc3884"/>
      <w:r>
        <w:rPr>
          <w:rFonts w:hint="eastAsia" w:ascii="黑体" w:eastAsia="黑体"/>
          <w:bCs/>
          <w:color w:val="auto"/>
          <w:kern w:val="44"/>
          <w:sz w:val="32"/>
          <w:szCs w:val="44"/>
          <w:lang w:val="en-US" w:eastAsia="zh-CN"/>
        </w:rPr>
        <w:t>7.1 Ⅲ级响应</w:t>
      </w:r>
      <w:bookmarkEnd w:id="147"/>
      <w:bookmarkEnd w:id="148"/>
      <w:bookmarkEnd w:id="149"/>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outlineLvl w:val="9"/>
        <w:rPr>
          <w:rFonts w:hint="eastAsia" w:ascii="仿宋_GB2312" w:hAnsi="仿宋_GB2312" w:eastAsia="仿宋_GB2312" w:cs="仿宋_GB2312"/>
          <w:bCs/>
          <w:color w:val="auto"/>
          <w:kern w:val="44"/>
          <w:sz w:val="32"/>
          <w:szCs w:val="44"/>
        </w:rPr>
      </w:pPr>
      <w:bookmarkStart w:id="150" w:name="_Toc8852"/>
      <w:bookmarkStart w:id="151" w:name="_Toc10092"/>
      <w:bookmarkStart w:id="152" w:name="_Toc3992"/>
      <w:r>
        <w:rPr>
          <w:rFonts w:hint="eastAsia" w:ascii="仿宋_GB2312" w:hAnsi="仿宋_GB2312" w:eastAsia="仿宋_GB2312" w:cs="仿宋_GB2312"/>
          <w:bCs/>
          <w:color w:val="auto"/>
          <w:kern w:val="44"/>
          <w:sz w:val="32"/>
          <w:szCs w:val="44"/>
          <w:lang w:val="en-US" w:eastAsia="zh-CN"/>
        </w:rPr>
        <w:t>7</w:t>
      </w:r>
      <w:r>
        <w:rPr>
          <w:rFonts w:hint="eastAsia" w:ascii="仿宋_GB2312" w:hAnsi="仿宋_GB2312" w:eastAsia="仿宋_GB2312" w:cs="仿宋_GB2312"/>
          <w:bCs/>
          <w:color w:val="auto"/>
          <w:kern w:val="44"/>
          <w:sz w:val="32"/>
          <w:szCs w:val="44"/>
        </w:rPr>
        <w:t>.1.1 启动条件</w:t>
      </w:r>
      <w:bookmarkEnd w:id="150"/>
      <w:bookmarkEnd w:id="151"/>
      <w:bookmarkEnd w:id="152"/>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（1）防火期内的主要节假日（元旦、春节、清明节、劳动节、国庆节）期间；</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（2）非防火期内发生的一般森林草原火灾。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eastAsia" w:ascii="仿宋_GB2312" w:hAnsi="仿宋_GB2312" w:eastAsia="仿宋_GB2312" w:cs="仿宋_GB2312"/>
          <w:color w:val="auto"/>
          <w:kern w:val="0"/>
          <w:sz w:val="32"/>
          <w:szCs w:val="32"/>
          <w:lang w:val="en-US" w:eastAsia="zh-CN"/>
        </w:rPr>
      </w:pPr>
      <w:r>
        <w:rPr>
          <w:rFonts w:ascii="仿宋_GB2312" w:hAnsi="仿宋_GB2312" w:eastAsia="仿宋_GB2312" w:cs="仿宋_GB2312"/>
          <w:i w:val="0"/>
          <w:iCs w:val="0"/>
          <w:caps w:val="0"/>
          <w:color w:val="auto"/>
          <w:spacing w:val="0"/>
          <w:sz w:val="32"/>
          <w:szCs w:val="32"/>
          <w:shd w:val="clear" w:fill="FFFFFF"/>
        </w:rPr>
        <w:t>符合上述条件之一时，</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森防指启动</w:t>
      </w:r>
      <w:r>
        <w:rPr>
          <w:rFonts w:hint="eastAsia" w:ascii="仿宋_GB2312" w:hAnsi="仿宋_GB2312" w:eastAsia="仿宋_GB2312" w:cs="仿宋_GB2312"/>
          <w:i w:val="0"/>
          <w:iCs w:val="0"/>
          <w:caps w:val="0"/>
          <w:color w:val="auto"/>
          <w:spacing w:val="0"/>
          <w:sz w:val="32"/>
          <w:szCs w:val="32"/>
          <w:shd w:val="clear" w:fill="FFFFFF"/>
          <w:lang w:val="en-US" w:eastAsia="zh-CN"/>
        </w:rPr>
        <w:t>Ⅲ</w:t>
      </w:r>
      <w:r>
        <w:rPr>
          <w:rFonts w:hint="eastAsia" w:ascii="仿宋_GB2312" w:hAnsi="仿宋_GB2312" w:eastAsia="仿宋_GB2312" w:cs="仿宋_GB2312"/>
          <w:i w:val="0"/>
          <w:iCs w:val="0"/>
          <w:caps w:val="0"/>
          <w:color w:val="auto"/>
          <w:spacing w:val="0"/>
          <w:sz w:val="32"/>
          <w:szCs w:val="32"/>
          <w:shd w:val="clear" w:fill="FFFFFF"/>
        </w:rPr>
        <w:t>级响应</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outlineLvl w:val="9"/>
        <w:rPr>
          <w:rFonts w:hint="eastAsia" w:ascii="仿宋_GB2312" w:hAnsi="仿宋_GB2312" w:eastAsia="仿宋_GB2312" w:cs="仿宋_GB2312"/>
          <w:bCs/>
          <w:color w:val="auto"/>
          <w:kern w:val="44"/>
          <w:sz w:val="32"/>
          <w:szCs w:val="44"/>
        </w:rPr>
      </w:pPr>
      <w:r>
        <w:rPr>
          <w:rFonts w:hint="eastAsia" w:ascii="仿宋_GB2312" w:hAnsi="仿宋_GB2312" w:eastAsia="仿宋_GB2312" w:cs="仿宋_GB2312"/>
          <w:bCs/>
          <w:color w:val="auto"/>
          <w:kern w:val="44"/>
          <w:sz w:val="32"/>
          <w:szCs w:val="44"/>
          <w:lang w:val="en-US" w:eastAsia="zh-CN"/>
        </w:rPr>
        <w:t>7</w:t>
      </w:r>
      <w:r>
        <w:rPr>
          <w:rFonts w:hint="eastAsia" w:ascii="仿宋_GB2312" w:hAnsi="仿宋_GB2312" w:eastAsia="仿宋_GB2312" w:cs="仿宋_GB2312"/>
          <w:bCs/>
          <w:color w:val="auto"/>
          <w:kern w:val="44"/>
          <w:sz w:val="32"/>
          <w:szCs w:val="44"/>
        </w:rPr>
        <w:t>.1.2 响应措施</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森防指办公室进入应急状态，加强火灾监测，及时连线调度火灾信息，研判火情发展态势；</w:t>
      </w:r>
      <w:r>
        <w:rPr>
          <w:rFonts w:hint="eastAsia" w:ascii="仿宋_GB2312" w:hAnsi="仿宋_GB2312" w:eastAsia="仿宋_GB2312" w:cs="仿宋_GB2312"/>
          <w:color w:val="auto"/>
          <w:kern w:val="2"/>
          <w:sz w:val="32"/>
          <w:szCs w:val="32"/>
          <w:lang w:val="en-US" w:eastAsia="zh-CN"/>
        </w:rPr>
        <w:t>同时</w:t>
      </w:r>
      <w:r>
        <w:rPr>
          <w:rFonts w:hint="eastAsia" w:ascii="仿宋_GB2312" w:hAnsi="仿宋_GB2312" w:eastAsia="仿宋_GB2312" w:cs="仿宋_GB2312"/>
          <w:color w:val="auto"/>
          <w:kern w:val="2"/>
          <w:sz w:val="32"/>
          <w:szCs w:val="32"/>
        </w:rPr>
        <w:t>成立前线指挥部，由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森防指</w:t>
      </w:r>
      <w:r>
        <w:rPr>
          <w:rFonts w:hint="eastAsia" w:ascii="仿宋_GB2312" w:hAnsi="仿宋_GB2312" w:eastAsia="仿宋_GB2312" w:cs="仿宋_GB2312"/>
          <w:color w:val="auto"/>
          <w:kern w:val="2"/>
          <w:sz w:val="32"/>
          <w:szCs w:val="32"/>
          <w:lang w:val="en-US" w:eastAsia="zh-CN"/>
        </w:rPr>
        <w:t>副总指挥</w:t>
      </w:r>
      <w:r>
        <w:rPr>
          <w:rFonts w:hint="eastAsia" w:ascii="仿宋_GB2312" w:hAnsi="仿宋_GB2312" w:eastAsia="仿宋_GB2312" w:cs="仿宋_GB2312"/>
          <w:color w:val="auto"/>
          <w:kern w:val="2"/>
          <w:sz w:val="32"/>
          <w:szCs w:val="32"/>
        </w:rPr>
        <w:t>组织专业</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半专业扑火队全力扑救。</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加强卫星监测热点、地面巡护信息反馈，及时调度火情信息，派出工作组赶赴火场，协调、指导火灾扑救工作，同时立即向</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森防指</w:t>
      </w:r>
      <w:r>
        <w:rPr>
          <w:rFonts w:hint="eastAsia" w:ascii="仿宋_GB2312" w:hAnsi="仿宋_GB2312" w:eastAsia="仿宋_GB2312" w:cs="仿宋_GB2312"/>
          <w:color w:val="auto"/>
          <w:kern w:val="2"/>
          <w:sz w:val="32"/>
          <w:szCs w:val="32"/>
        </w:rPr>
        <w:t>和市森林草原防灭火指挥部办公室报告。</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加强对火灾扑救工作的指导，根据需要调派消防救援大队、应急救援大队</w:t>
      </w:r>
      <w:r>
        <w:rPr>
          <w:rFonts w:hint="eastAsia" w:ascii="仿宋_GB2312" w:hAnsi="仿宋_GB2312" w:eastAsia="仿宋_GB2312" w:cs="仿宋_GB2312"/>
          <w:color w:val="auto"/>
          <w:kern w:val="2"/>
          <w:sz w:val="32"/>
          <w:szCs w:val="32"/>
          <w:lang w:eastAsia="zh-CN"/>
        </w:rPr>
        <w:t>、</w:t>
      </w:r>
      <w:r>
        <w:rPr>
          <w:rFonts w:hint="eastAsia" w:ascii="仿宋_GB2312" w:hAnsi="Times New Roman" w:eastAsia="仿宋_GB2312" w:cs="仿宋_GB2312"/>
          <w:i w:val="0"/>
          <w:iCs w:val="0"/>
          <w:caps w:val="0"/>
          <w:color w:val="auto"/>
          <w:spacing w:val="0"/>
          <w:sz w:val="32"/>
          <w:szCs w:val="32"/>
          <w:shd w:val="clear" w:fill="FFFFFF"/>
          <w:lang w:eastAsia="zh-CN"/>
        </w:rPr>
        <w:t>内蒙古森林消防总队特勤大队</w:t>
      </w:r>
      <w:r>
        <w:rPr>
          <w:rFonts w:hint="eastAsia" w:ascii="仿宋_GB2312" w:hAnsi="仿宋_GB2312" w:eastAsia="仿宋_GB2312" w:cs="仿宋_GB2312"/>
          <w:color w:val="auto"/>
          <w:kern w:val="2"/>
          <w:sz w:val="32"/>
          <w:szCs w:val="32"/>
        </w:rPr>
        <w:t>等专业扑火力量进行支援。</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加强气象监测，气象</w:t>
      </w:r>
      <w:r>
        <w:rPr>
          <w:rFonts w:hint="eastAsia" w:ascii="仿宋_GB2312" w:hAnsi="仿宋_GB2312" w:eastAsia="仿宋_GB2312" w:cs="仿宋_GB2312"/>
          <w:color w:val="auto"/>
          <w:kern w:val="2"/>
          <w:sz w:val="32"/>
          <w:szCs w:val="32"/>
          <w:lang w:val="en-US" w:eastAsia="zh-CN"/>
        </w:rPr>
        <w:t>分局</w:t>
      </w:r>
      <w:r>
        <w:rPr>
          <w:rFonts w:hint="eastAsia" w:ascii="仿宋_GB2312" w:hAnsi="仿宋_GB2312" w:eastAsia="仿宋_GB2312" w:cs="仿宋_GB2312"/>
          <w:color w:val="auto"/>
          <w:kern w:val="2"/>
          <w:sz w:val="32"/>
          <w:szCs w:val="32"/>
        </w:rPr>
        <w:t>及时提供天气预报和天气实况服务。</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）视情发布高森林草原火险预警信息</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eastAsia"/>
          <w:color w:val="auto"/>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）根据火场周边环境，指导保护重要目标物及重大危险源的安全。</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2"/>
          <w:sz w:val="32"/>
          <w:szCs w:val="32"/>
        </w:rPr>
        <w:t>迅速将受伤人员送医院治疗，必要时对重伤员实施异地救治。</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53" w:name="_Toc27704"/>
      <w:bookmarkStart w:id="154" w:name="_Toc31226"/>
      <w:bookmarkStart w:id="155" w:name="_Toc9581"/>
      <w:r>
        <w:rPr>
          <w:rFonts w:hint="eastAsia" w:ascii="黑体" w:eastAsia="黑体"/>
          <w:bCs/>
          <w:color w:val="auto"/>
          <w:kern w:val="44"/>
          <w:sz w:val="32"/>
          <w:szCs w:val="44"/>
          <w:lang w:val="en-US" w:eastAsia="zh-CN"/>
        </w:rPr>
        <w:t>7.2 Ⅱ级响应</w:t>
      </w:r>
      <w:bookmarkEnd w:id="153"/>
      <w:bookmarkEnd w:id="154"/>
      <w:bookmarkEnd w:id="155"/>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kern w:val="44"/>
          <w:sz w:val="32"/>
          <w:szCs w:val="44"/>
        </w:rPr>
      </w:pPr>
      <w:r>
        <w:rPr>
          <w:rFonts w:hint="eastAsia" w:ascii="仿宋_GB2312" w:hAnsi="仿宋_GB2312" w:eastAsia="仿宋_GB2312" w:cs="仿宋_GB2312"/>
          <w:bCs/>
          <w:color w:val="auto"/>
          <w:kern w:val="44"/>
          <w:sz w:val="32"/>
          <w:szCs w:val="44"/>
          <w:lang w:val="en-US" w:eastAsia="zh-CN"/>
        </w:rPr>
        <w:t>7</w:t>
      </w:r>
      <w:r>
        <w:rPr>
          <w:rFonts w:hint="eastAsia" w:ascii="仿宋_GB2312" w:hAnsi="仿宋_GB2312" w:eastAsia="仿宋_GB2312" w:cs="仿宋_GB2312"/>
          <w:bCs/>
          <w:color w:val="auto"/>
          <w:kern w:val="44"/>
          <w:sz w:val="32"/>
          <w:szCs w:val="44"/>
        </w:rPr>
        <w:t>.2.1 启动条件</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（1）防火期内的主要节假日（元旦、春节、清明节、劳动节、国庆节）期间，发生的一般森林草原火灾；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（2）四级响应实施后30分钟内森林草原火灾火势仍未得到有效控制。</w:t>
      </w:r>
    </w:p>
    <w:p>
      <w:pPr>
        <w:pageBreakBefore w:val="0"/>
        <w:widowControl w:val="0"/>
        <w:kinsoku/>
        <w:wordWrap/>
        <w:overflowPunct/>
        <w:topLinePunct w:val="0"/>
        <w:autoSpaceDE/>
        <w:autoSpaceDN/>
        <w:bidi w:val="0"/>
        <w:ind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（3）同时发生2起以上的森林草原火灾。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符合上述条件之一时，区森防指启动Ⅱ级响应。</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eastAsia" w:ascii="仿宋_GB2312" w:hAnsi="仿宋_GB2312" w:eastAsia="仿宋_GB2312" w:cs="仿宋_GB2312"/>
          <w:bCs/>
          <w:color w:val="auto"/>
          <w:kern w:val="44"/>
          <w:sz w:val="32"/>
          <w:szCs w:val="44"/>
          <w:lang w:val="en-US" w:eastAsia="zh-CN"/>
        </w:rPr>
      </w:pPr>
      <w:r>
        <w:rPr>
          <w:rFonts w:hint="eastAsia" w:ascii="仿宋_GB2312" w:hAnsi="仿宋_GB2312" w:eastAsia="仿宋_GB2312" w:cs="仿宋_GB2312"/>
          <w:bCs/>
          <w:color w:val="auto"/>
          <w:kern w:val="44"/>
          <w:sz w:val="32"/>
          <w:szCs w:val="44"/>
          <w:lang w:val="en-US" w:eastAsia="zh-CN"/>
        </w:rPr>
        <w:t>7.2.2 响应措施</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在</w:t>
      </w:r>
      <w:r>
        <w:rPr>
          <w:rFonts w:hint="eastAsia" w:ascii="仿宋_GB2312" w:hAnsi="仿宋_GB2312" w:eastAsia="仿宋_GB2312" w:cs="仿宋_GB2312"/>
          <w:color w:val="auto"/>
          <w:kern w:val="2"/>
          <w:sz w:val="32"/>
          <w:szCs w:val="32"/>
          <w:lang w:val="en-US" w:eastAsia="zh-CN"/>
        </w:rPr>
        <w:t>Ⅲ</w:t>
      </w:r>
      <w:r>
        <w:rPr>
          <w:rFonts w:hint="eastAsia" w:ascii="仿宋_GB2312" w:hAnsi="仿宋_GB2312" w:eastAsia="仿宋_GB2312" w:cs="仿宋_GB2312"/>
          <w:color w:val="auto"/>
          <w:kern w:val="2"/>
          <w:sz w:val="32"/>
          <w:szCs w:val="32"/>
        </w:rPr>
        <w:t>级响应的基础上，启动赴火场工作组、综合调度组、火场通讯组、后勤保障协调组、宣传报道协调组、火案查处协调组等，加强以下措施：</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区森防指及时调度了解森林草原火灾最新情况，由区森防指</w:t>
      </w:r>
      <w:r>
        <w:rPr>
          <w:rFonts w:hint="eastAsia" w:ascii="仿宋_GB2312" w:hAnsi="仿宋_GB2312" w:eastAsia="仿宋_GB2312" w:cs="仿宋_GB2312"/>
          <w:color w:val="auto"/>
          <w:kern w:val="2"/>
          <w:sz w:val="32"/>
          <w:szCs w:val="32"/>
          <w:lang w:val="en-US" w:eastAsia="zh-CN"/>
        </w:rPr>
        <w:t>常务副总指挥</w:t>
      </w:r>
      <w:r>
        <w:rPr>
          <w:rFonts w:hint="eastAsia" w:ascii="仿宋_GB2312" w:hAnsi="仿宋_GB2312" w:eastAsia="仿宋_GB2312" w:cs="仿宋_GB2312"/>
          <w:color w:val="auto"/>
          <w:kern w:val="2"/>
          <w:sz w:val="32"/>
          <w:szCs w:val="32"/>
        </w:rPr>
        <w:t>组织火情会商，研究火灾扑救措施；派出工作组赶赴火场，协调、指导火灾扑救工作；同时及时向区委、</w:t>
      </w:r>
      <w:r>
        <w:rPr>
          <w:rFonts w:hint="eastAsia" w:ascii="仿宋_GB2312" w:hAnsi="仿宋_GB2312" w:eastAsia="仿宋_GB2312" w:cs="仿宋_GB2312"/>
          <w:color w:val="auto"/>
          <w:kern w:val="2"/>
          <w:sz w:val="32"/>
          <w:szCs w:val="32"/>
          <w:lang w:val="en-US" w:eastAsia="zh-CN"/>
        </w:rPr>
        <w:t>区人民</w:t>
      </w:r>
      <w:r>
        <w:rPr>
          <w:rFonts w:hint="eastAsia" w:ascii="仿宋_GB2312" w:hAnsi="仿宋_GB2312" w:eastAsia="仿宋_GB2312" w:cs="仿宋_GB2312"/>
          <w:color w:val="auto"/>
          <w:kern w:val="2"/>
          <w:sz w:val="32"/>
          <w:szCs w:val="32"/>
        </w:rPr>
        <w:t>政府和市森林草原防灭火指挥部报告</w:t>
      </w:r>
      <w:r>
        <w:rPr>
          <w:rFonts w:hint="eastAsia" w:ascii="宋体" w:hAnsi="宋体" w:eastAsia="仿宋_GB2312" w:cstheme="minorBidi"/>
          <w:color w:val="auto"/>
          <w:kern w:val="2"/>
          <w:sz w:val="32"/>
          <w:szCs w:val="32"/>
        </w:rPr>
        <w:t>。</w:t>
      </w:r>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微软雅黑" w:hAnsi="微软雅黑" w:eastAsia="微软雅黑" w:cs="微软雅黑"/>
          <w:color w:val="auto"/>
          <w:sz w:val="16"/>
          <w:szCs w:val="16"/>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2</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根据</w:t>
      </w:r>
      <w:r>
        <w:rPr>
          <w:rFonts w:hint="eastAsia" w:ascii="宋体" w:hAnsi="宋体" w:eastAsia="仿宋_GB2312" w:cstheme="minorBidi"/>
          <w:color w:val="auto"/>
          <w:kern w:val="2"/>
          <w:sz w:val="32"/>
          <w:szCs w:val="32"/>
          <w:lang w:val="en-US" w:eastAsia="zh-CN"/>
        </w:rPr>
        <w:t>前线指挥部</w:t>
      </w:r>
      <w:r>
        <w:rPr>
          <w:rFonts w:hint="eastAsia" w:ascii="宋体" w:hAnsi="宋体" w:eastAsia="仿宋_GB2312" w:cstheme="minorBidi"/>
          <w:color w:val="auto"/>
          <w:kern w:val="2"/>
          <w:sz w:val="32"/>
          <w:szCs w:val="32"/>
        </w:rPr>
        <w:t>的请示，及时调派消防救援大队及</w:t>
      </w:r>
      <w:r>
        <w:rPr>
          <w:rFonts w:hint="eastAsia" w:ascii="宋体" w:hAnsi="宋体" w:eastAsia="仿宋_GB2312" w:cstheme="minorBidi"/>
          <w:color w:val="auto"/>
          <w:kern w:val="2"/>
          <w:sz w:val="32"/>
          <w:szCs w:val="32"/>
          <w:lang w:val="en-US" w:eastAsia="zh-CN"/>
        </w:rPr>
        <w:t>协调</w:t>
      </w:r>
      <w:r>
        <w:rPr>
          <w:rFonts w:hint="eastAsia" w:ascii="宋体" w:hAnsi="宋体" w:eastAsia="仿宋_GB2312" w:cstheme="minorBidi"/>
          <w:color w:val="auto"/>
          <w:kern w:val="2"/>
          <w:sz w:val="32"/>
          <w:szCs w:val="32"/>
        </w:rPr>
        <w:t>相邻地区派出专业扑火力量进行支援，根据需要请示市森林草原防灭火指挥部协调调派内蒙古</w:t>
      </w:r>
      <w:r>
        <w:rPr>
          <w:rFonts w:hint="eastAsia" w:ascii="宋体" w:hAnsi="宋体" w:eastAsia="仿宋_GB2312" w:cstheme="minorBidi"/>
          <w:color w:val="auto"/>
          <w:kern w:val="2"/>
          <w:sz w:val="32"/>
          <w:szCs w:val="32"/>
          <w:lang w:val="en-US" w:eastAsia="zh-CN"/>
        </w:rPr>
        <w:t>森林消防救援总</w:t>
      </w:r>
      <w:r>
        <w:rPr>
          <w:rFonts w:hint="eastAsia" w:ascii="宋体" w:hAnsi="宋体" w:eastAsia="仿宋_GB2312" w:cstheme="minorBidi"/>
          <w:color w:val="auto"/>
          <w:kern w:val="2"/>
          <w:sz w:val="32"/>
          <w:szCs w:val="32"/>
        </w:rPr>
        <w:t>队参加火灾扑救。</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3</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各地区专业扑火队伍、应急救援大队、武警部队、解放军、民兵预备役部队等做好跨区域增援准备。</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4</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保护重要目标。当军事设施、危险化学品生产储存设备等重要目标物和重大危险源受到森林草原火灾威胁时，迅速调集专业队伍，全力消除威胁。</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微软雅黑" w:hAnsi="微软雅黑" w:eastAsia="微软雅黑" w:cs="微软雅黑"/>
          <w:color w:val="auto"/>
          <w:sz w:val="16"/>
          <w:szCs w:val="16"/>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5</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气象</w:t>
      </w:r>
      <w:r>
        <w:rPr>
          <w:rFonts w:hint="eastAsia" w:ascii="宋体" w:hAnsi="宋体" w:eastAsia="仿宋_GB2312" w:cstheme="minorBidi"/>
          <w:color w:val="auto"/>
          <w:kern w:val="2"/>
          <w:sz w:val="32"/>
          <w:szCs w:val="32"/>
          <w:lang w:val="en-US" w:eastAsia="zh-CN"/>
        </w:rPr>
        <w:t>分局</w:t>
      </w:r>
      <w:r>
        <w:rPr>
          <w:rFonts w:hint="eastAsia" w:ascii="宋体" w:hAnsi="宋体" w:eastAsia="仿宋_GB2312" w:cstheme="minorBidi"/>
          <w:color w:val="auto"/>
          <w:kern w:val="2"/>
          <w:sz w:val="32"/>
          <w:szCs w:val="32"/>
        </w:rPr>
        <w:t>做好人工影响天气作业准备，根据天气适时开展人工增雨作业。</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56" w:name="_Toc7224"/>
      <w:bookmarkStart w:id="157" w:name="_Toc9018"/>
      <w:bookmarkStart w:id="158" w:name="_Toc7355"/>
      <w:r>
        <w:rPr>
          <w:rFonts w:hint="eastAsia" w:ascii="黑体" w:eastAsia="黑体"/>
          <w:bCs/>
          <w:color w:val="auto"/>
          <w:kern w:val="44"/>
          <w:sz w:val="32"/>
          <w:szCs w:val="44"/>
          <w:lang w:val="en-US" w:eastAsia="zh-CN"/>
        </w:rPr>
        <w:t>7.3 Ⅰ级响应</w:t>
      </w:r>
      <w:bookmarkEnd w:id="156"/>
      <w:bookmarkEnd w:id="157"/>
      <w:bookmarkEnd w:id="158"/>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kern w:val="44"/>
          <w:sz w:val="32"/>
          <w:szCs w:val="44"/>
        </w:rPr>
      </w:pPr>
      <w:r>
        <w:rPr>
          <w:rFonts w:hint="eastAsia" w:ascii="仿宋_GB2312" w:hAnsi="仿宋_GB2312" w:eastAsia="仿宋_GB2312" w:cs="仿宋_GB2312"/>
          <w:bCs/>
          <w:color w:val="auto"/>
          <w:kern w:val="44"/>
          <w:sz w:val="32"/>
          <w:szCs w:val="44"/>
          <w:lang w:val="en-US" w:eastAsia="zh-CN"/>
        </w:rPr>
        <w:t>7</w:t>
      </w:r>
      <w:r>
        <w:rPr>
          <w:rFonts w:hint="eastAsia" w:ascii="仿宋_GB2312" w:hAnsi="仿宋_GB2312" w:eastAsia="仿宋_GB2312" w:cs="仿宋_GB2312"/>
          <w:bCs/>
          <w:color w:val="auto"/>
          <w:kern w:val="44"/>
          <w:sz w:val="32"/>
          <w:szCs w:val="44"/>
        </w:rPr>
        <w:t>.3.1 启动条件</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（1）森林草原火</w:t>
      </w:r>
      <w:r>
        <w:rPr>
          <w:rFonts w:hint="eastAsia" w:ascii="仿宋_GB2312" w:hAnsi="仿宋_GB2312" w:eastAsia="仿宋_GB2312" w:cs="仿宋_GB2312"/>
          <w:i w:val="0"/>
          <w:iCs w:val="0"/>
          <w:caps w:val="0"/>
          <w:color w:val="auto"/>
          <w:spacing w:val="0"/>
          <w:sz w:val="32"/>
          <w:szCs w:val="32"/>
          <w:shd w:val="clear" w:color="auto" w:fill="FFFFFF"/>
          <w:lang w:val="en-US" w:eastAsia="zh-CN"/>
        </w:rPr>
        <w:t>灾</w:t>
      </w:r>
      <w:r>
        <w:rPr>
          <w:rFonts w:hint="eastAsia" w:ascii="仿宋_GB2312" w:hAnsi="仿宋_GB2312" w:eastAsia="仿宋_GB2312" w:cs="仿宋_GB2312"/>
          <w:i w:val="0"/>
          <w:iCs w:val="0"/>
          <w:caps w:val="0"/>
          <w:color w:val="auto"/>
          <w:spacing w:val="0"/>
          <w:sz w:val="32"/>
          <w:szCs w:val="32"/>
          <w:shd w:val="clear" w:color="auto" w:fill="FFFFFF"/>
        </w:rPr>
        <w:t>初判</w:t>
      </w:r>
      <w:r>
        <w:rPr>
          <w:rFonts w:hint="eastAsia" w:ascii="仿宋_GB2312" w:hAnsi="仿宋_GB2312" w:eastAsia="仿宋_GB2312" w:cs="仿宋_GB2312"/>
          <w:i w:val="0"/>
          <w:iCs w:val="0"/>
          <w:caps w:val="0"/>
          <w:color w:val="auto"/>
          <w:spacing w:val="0"/>
          <w:sz w:val="32"/>
          <w:szCs w:val="32"/>
          <w:shd w:val="clear" w:color="auto" w:fill="FFFFFF"/>
          <w:lang w:val="en-US" w:eastAsia="zh-CN"/>
        </w:rPr>
        <w:t>可能</w:t>
      </w:r>
      <w:r>
        <w:rPr>
          <w:rFonts w:hint="eastAsia" w:ascii="仿宋_GB2312" w:hAnsi="仿宋_GB2312" w:eastAsia="仿宋_GB2312" w:cs="仿宋_GB2312"/>
          <w:i w:val="0"/>
          <w:iCs w:val="0"/>
          <w:caps w:val="0"/>
          <w:color w:val="auto"/>
          <w:spacing w:val="0"/>
          <w:sz w:val="32"/>
          <w:szCs w:val="32"/>
          <w:shd w:val="clear" w:color="auto" w:fill="FFFFFF"/>
        </w:rPr>
        <w:t>达到重</w:t>
      </w:r>
      <w:r>
        <w:rPr>
          <w:rFonts w:hint="eastAsia" w:ascii="仿宋_GB2312" w:hAnsi="仿宋_GB2312" w:eastAsia="仿宋_GB2312" w:cs="仿宋_GB2312"/>
          <w:i w:val="0"/>
          <w:iCs w:val="0"/>
          <w:caps w:val="0"/>
          <w:color w:val="auto"/>
          <w:spacing w:val="0"/>
          <w:sz w:val="32"/>
          <w:szCs w:val="32"/>
          <w:shd w:val="clear" w:color="auto" w:fill="FFFFFF"/>
          <w:lang w:val="en-US" w:eastAsia="zh-CN"/>
        </w:rPr>
        <w:t>特</w:t>
      </w:r>
      <w:r>
        <w:rPr>
          <w:rFonts w:hint="eastAsia" w:ascii="仿宋_GB2312" w:hAnsi="仿宋_GB2312" w:eastAsia="仿宋_GB2312" w:cs="仿宋_GB2312"/>
          <w:i w:val="0"/>
          <w:iCs w:val="0"/>
          <w:caps w:val="0"/>
          <w:color w:val="auto"/>
          <w:spacing w:val="0"/>
          <w:sz w:val="32"/>
          <w:szCs w:val="32"/>
          <w:shd w:val="clear" w:color="auto" w:fill="FFFFFF"/>
        </w:rPr>
        <w:t>大森林草原火灾。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气象条件恶劣，火险等级高，扑救特别困难的过夜火；</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（3）受害面积较大且有继续蔓延趋势，难以控制的森林草原火灾；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（4）超出区应急处置能力的森林草原火灾</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color w:val="auto"/>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危及居民点、自然保护区、重点林木区或重要设施的森林草原火灾。</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tLeast"/>
        <w:ind w:left="0" w:right="0"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符合上述条件之一时，</w:t>
      </w:r>
      <w:r>
        <w:rPr>
          <w:rFonts w:hint="eastAsia" w:ascii="仿宋_GB2312" w:hAnsi="仿宋_GB2312" w:eastAsia="仿宋_GB2312" w:cs="仿宋_GB2312"/>
          <w:i w:val="0"/>
          <w:iCs w:val="0"/>
          <w:caps w:val="0"/>
          <w:color w:val="auto"/>
          <w:spacing w:val="0"/>
          <w:sz w:val="32"/>
          <w:szCs w:val="32"/>
          <w:shd w:val="clear" w:color="auto" w:fill="FFFFFF"/>
          <w:lang w:val="en-US" w:eastAsia="zh-CN"/>
        </w:rPr>
        <w:t>区</w:t>
      </w:r>
      <w:r>
        <w:rPr>
          <w:rFonts w:hint="eastAsia" w:ascii="仿宋_GB2312" w:hAnsi="仿宋_GB2312" w:eastAsia="仿宋_GB2312" w:cs="仿宋_GB2312"/>
          <w:i w:val="0"/>
          <w:iCs w:val="0"/>
          <w:caps w:val="0"/>
          <w:color w:val="auto"/>
          <w:spacing w:val="0"/>
          <w:sz w:val="32"/>
          <w:szCs w:val="32"/>
          <w:shd w:val="clear" w:color="auto" w:fill="FFFFFF"/>
        </w:rPr>
        <w:t>森林草原防灭火指挥部启动</w:t>
      </w:r>
      <w:r>
        <w:rPr>
          <w:rFonts w:hint="eastAsia" w:ascii="仿宋_GB2312" w:hAnsi="仿宋_GB2312" w:eastAsia="仿宋_GB2312" w:cs="仿宋_GB2312"/>
          <w:i w:val="0"/>
          <w:iCs w:val="0"/>
          <w:caps w:val="0"/>
          <w:color w:val="auto"/>
          <w:spacing w:val="0"/>
          <w:sz w:val="32"/>
          <w:szCs w:val="32"/>
          <w:shd w:val="clear" w:color="auto" w:fill="FFFFFF"/>
          <w:lang w:val="en-US" w:eastAsia="zh-CN"/>
        </w:rPr>
        <w:t>Ⅰ</w:t>
      </w:r>
      <w:r>
        <w:rPr>
          <w:rFonts w:hint="eastAsia" w:ascii="仿宋_GB2312" w:hAnsi="仿宋_GB2312" w:eastAsia="仿宋_GB2312" w:cs="仿宋_GB2312"/>
          <w:i w:val="0"/>
          <w:iCs w:val="0"/>
          <w:caps w:val="0"/>
          <w:color w:val="auto"/>
          <w:spacing w:val="0"/>
          <w:sz w:val="32"/>
          <w:szCs w:val="32"/>
          <w:shd w:val="clear" w:color="auto" w:fill="FFFFFF"/>
        </w:rPr>
        <w:t>级应急响应。</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bCs/>
          <w:color w:val="auto"/>
          <w:kern w:val="44"/>
          <w:sz w:val="32"/>
          <w:szCs w:val="44"/>
        </w:rPr>
      </w:pPr>
      <w:r>
        <w:rPr>
          <w:rFonts w:hint="eastAsia" w:ascii="仿宋_GB2312" w:hAnsi="仿宋_GB2312" w:eastAsia="仿宋_GB2312" w:cs="仿宋_GB2312"/>
          <w:bCs/>
          <w:color w:val="auto"/>
          <w:kern w:val="44"/>
          <w:sz w:val="32"/>
          <w:szCs w:val="44"/>
          <w:lang w:val="en-US" w:eastAsia="zh-CN"/>
        </w:rPr>
        <w:t>7</w:t>
      </w:r>
      <w:r>
        <w:rPr>
          <w:rFonts w:hint="eastAsia" w:ascii="仿宋_GB2312" w:hAnsi="仿宋_GB2312" w:eastAsia="仿宋_GB2312" w:cs="仿宋_GB2312"/>
          <w:bCs/>
          <w:color w:val="auto"/>
          <w:kern w:val="44"/>
          <w:sz w:val="32"/>
          <w:szCs w:val="44"/>
        </w:rPr>
        <w:t>.3.2 响应措施</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在</w:t>
      </w:r>
      <w:r>
        <w:rPr>
          <w:rFonts w:hint="eastAsia" w:ascii="仿宋_GB2312" w:hAnsi="仿宋_GB2312" w:eastAsia="仿宋_GB2312" w:cs="仿宋_GB2312"/>
          <w:color w:val="auto"/>
          <w:kern w:val="2"/>
          <w:sz w:val="32"/>
          <w:szCs w:val="32"/>
          <w:lang w:val="en-US" w:eastAsia="zh-CN"/>
        </w:rPr>
        <w:t>Ⅱ</w:t>
      </w:r>
      <w:r>
        <w:rPr>
          <w:rFonts w:hint="eastAsia" w:ascii="仿宋_GB2312" w:hAnsi="仿宋_GB2312" w:eastAsia="仿宋_GB2312" w:cs="仿宋_GB2312"/>
          <w:color w:val="auto"/>
          <w:kern w:val="2"/>
          <w:sz w:val="32"/>
          <w:szCs w:val="32"/>
        </w:rPr>
        <w:t>级响应的基础上，加强以下措施：</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区森防指总指挥组织有关成员单位开展火情会商，分析火险形势，研究扑救措施及保障工作；区</w:t>
      </w:r>
      <w:r>
        <w:rPr>
          <w:rFonts w:hint="eastAsia" w:ascii="仿宋_GB2312" w:hAnsi="仿宋_GB2312" w:eastAsia="仿宋_GB2312" w:cs="仿宋_GB2312"/>
          <w:color w:val="auto"/>
          <w:kern w:val="2"/>
          <w:sz w:val="32"/>
          <w:szCs w:val="32"/>
          <w:lang w:val="en-US" w:eastAsia="zh-CN"/>
        </w:rPr>
        <w:t>森防指</w:t>
      </w:r>
      <w:r>
        <w:rPr>
          <w:rFonts w:hint="eastAsia" w:ascii="仿宋_GB2312" w:hAnsi="仿宋_GB2312" w:eastAsia="仿宋_GB2312" w:cs="仿宋_GB2312"/>
          <w:color w:val="auto"/>
          <w:kern w:val="2"/>
          <w:sz w:val="32"/>
          <w:szCs w:val="32"/>
        </w:rPr>
        <w:t>会同有关部门和专家组成工作组赶赴火场，协调指挥火灾扑救工作。</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根据</w:t>
      </w:r>
      <w:r>
        <w:rPr>
          <w:rFonts w:hint="eastAsia" w:ascii="仿宋_GB2312" w:hAnsi="仿宋_GB2312" w:eastAsia="仿宋_GB2312" w:cs="仿宋_GB2312"/>
          <w:color w:val="auto"/>
          <w:kern w:val="2"/>
          <w:sz w:val="32"/>
          <w:szCs w:val="32"/>
          <w:lang w:val="en-US" w:eastAsia="zh-CN"/>
        </w:rPr>
        <w:t>前线指挥部的</w:t>
      </w:r>
      <w:r>
        <w:rPr>
          <w:rFonts w:hint="eastAsia" w:ascii="仿宋_GB2312" w:hAnsi="仿宋_GB2312" w:eastAsia="仿宋_GB2312" w:cs="仿宋_GB2312"/>
          <w:color w:val="auto"/>
          <w:kern w:val="2"/>
          <w:sz w:val="32"/>
          <w:szCs w:val="32"/>
        </w:rPr>
        <w:t>请示，区</w:t>
      </w:r>
      <w:r>
        <w:rPr>
          <w:rFonts w:hint="eastAsia" w:ascii="仿宋_GB2312" w:hAnsi="仿宋_GB2312" w:eastAsia="仿宋_GB2312" w:cs="仿宋_GB2312"/>
          <w:color w:val="auto"/>
          <w:kern w:val="2"/>
          <w:sz w:val="32"/>
          <w:szCs w:val="32"/>
          <w:lang w:val="en-US" w:eastAsia="zh-CN"/>
        </w:rPr>
        <w:t>森</w:t>
      </w:r>
      <w:r>
        <w:rPr>
          <w:rFonts w:hint="eastAsia" w:ascii="仿宋_GB2312" w:hAnsi="仿宋_GB2312" w:eastAsia="仿宋_GB2312" w:cs="仿宋_GB2312"/>
          <w:color w:val="auto"/>
          <w:kern w:val="2"/>
          <w:sz w:val="32"/>
          <w:szCs w:val="32"/>
        </w:rPr>
        <w:t>防指调派消防救援大队、应急救援大队、各地区专业扑火队伍、</w:t>
      </w:r>
      <w:r>
        <w:rPr>
          <w:rFonts w:hint="eastAsia" w:ascii="仿宋_GB2312" w:hAnsi="仿宋_GB2312" w:eastAsia="仿宋_GB2312" w:cs="仿宋_GB2312"/>
          <w:color w:val="auto"/>
          <w:kern w:val="0"/>
          <w:sz w:val="32"/>
          <w:szCs w:val="32"/>
        </w:rPr>
        <w:t>森林消防特勤大队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2"/>
          <w:sz w:val="32"/>
          <w:szCs w:val="32"/>
        </w:rPr>
        <w:t>武警部队、解放军、民兵预备役部队以及调配消防车等大型消防装备参与扑救，跨区域支援。必要时，请求呼和浩特市支援。</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根据实际情况，协调做好扑火物资调拨、交通运输、卫生应急队伍增援等工作。</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当居民点、人员密集区受到森林草原火灾威胁时，及时采取有效阻火措施，制定紧急疏散方案，有组织、有秩序地及时疏散居民、受威胁人员，确保人民群众生命安全，妥善做好转移群众安置工作。</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视情派出卫生应急队伍赶赴火灾发生地，成立临时医院或医疗点，实施现场救治。</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6</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根据实际情况，安排生活救助物资，增派卫生应急队伍，协调实施跨区域转移受威胁群众。</w:t>
      </w:r>
    </w:p>
    <w:p>
      <w:pPr>
        <w:ind w:firstLine="640" w:firstLineChars="200"/>
        <w:rPr>
          <w:rFonts w:hint="eastAsia"/>
          <w:color w:val="auto"/>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7</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组织通信、电力、铁路、交通、民航等部门，保障应急通信、电力、救援人员和物资交通运输畅通</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维护社会治安。加强森林草原火灾受影响区域的社会治安管理，严厉打击借机盗窃、抢劫、哄抢救灾物资、传播谣言等违法犯罪行为。有关部门在金融单位、储备仓库等重要场所加强治安巡逻，维护社会稳定。</w:t>
      </w:r>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hint="eastAsia"/>
          <w:color w:val="auto"/>
        </w:rPr>
      </w:pP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9</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进一步加强气象服务，加强航空火情监测，加强人工影响天气作业。</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59" w:name="_Toc9408"/>
      <w:r>
        <w:rPr>
          <w:rFonts w:hint="eastAsia" w:ascii="黑体" w:eastAsia="黑体"/>
          <w:bCs/>
          <w:color w:val="auto"/>
          <w:kern w:val="44"/>
          <w:sz w:val="32"/>
          <w:szCs w:val="44"/>
          <w:lang w:val="en-US" w:eastAsia="zh-CN"/>
        </w:rPr>
        <w:t>7.4 启动条件调整</w:t>
      </w:r>
      <w:bookmarkEnd w:id="159"/>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根据森林草原火灾发生的地区、时间敏感程度，受害森林草原资源损失程度，经济、社会影响程度，启动</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森林草原火灾应急响应的标准可酌情调整。</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60" w:name="_Toc14273"/>
      <w:r>
        <w:rPr>
          <w:rFonts w:hint="eastAsia" w:ascii="黑体" w:eastAsia="黑体"/>
          <w:bCs/>
          <w:color w:val="auto"/>
          <w:kern w:val="44"/>
          <w:sz w:val="32"/>
          <w:szCs w:val="44"/>
          <w:lang w:val="en-US" w:eastAsia="zh-CN"/>
        </w:rPr>
        <w:t>7.5 响应终止</w:t>
      </w:r>
      <w:bookmarkEnd w:id="160"/>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color w:val="auto"/>
        </w:rPr>
      </w:pPr>
      <w:r>
        <w:rPr>
          <w:rFonts w:hint="eastAsia" w:ascii="仿宋_GB2312" w:hAnsi="仿宋_GB2312" w:eastAsia="仿宋_GB2312" w:cs="仿宋_GB2312"/>
          <w:color w:val="auto"/>
          <w:kern w:val="0"/>
          <w:sz w:val="32"/>
          <w:szCs w:val="32"/>
        </w:rPr>
        <w:t>森林草原火灾扑救工作结束后，由</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森防指办公室提出建议，按启动响应的相应权限终止响应。</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61" w:name="_Toc5306"/>
      <w:bookmarkStart w:id="162" w:name="_Toc22115"/>
      <w:bookmarkStart w:id="163" w:name="_Toc309"/>
      <w:r>
        <w:rPr>
          <w:rFonts w:hint="eastAsia" w:ascii="黑体" w:eastAsia="黑体"/>
          <w:bCs/>
          <w:color w:val="auto"/>
          <w:kern w:val="44"/>
          <w:sz w:val="32"/>
          <w:szCs w:val="44"/>
          <w:lang w:val="en-US" w:eastAsia="zh-CN"/>
        </w:rPr>
        <w:t>8 后期处置</w:t>
      </w:r>
      <w:bookmarkEnd w:id="161"/>
      <w:bookmarkEnd w:id="162"/>
      <w:bookmarkEnd w:id="163"/>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64" w:name="_Toc6971"/>
      <w:bookmarkStart w:id="165" w:name="_Toc21218"/>
      <w:bookmarkStart w:id="166" w:name="_Toc32155"/>
      <w:r>
        <w:rPr>
          <w:rFonts w:hint="eastAsia" w:ascii="黑体" w:eastAsia="黑体"/>
          <w:bCs/>
          <w:color w:val="auto"/>
          <w:kern w:val="44"/>
          <w:sz w:val="32"/>
          <w:szCs w:val="44"/>
          <w:lang w:val="en-US" w:eastAsia="zh-CN"/>
        </w:rPr>
        <w:t>8.1 火灾评估</w:t>
      </w:r>
      <w:bookmarkEnd w:id="164"/>
      <w:bookmarkEnd w:id="165"/>
      <w:bookmarkEnd w:id="166"/>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区应急管理</w:t>
      </w:r>
      <w:r>
        <w:rPr>
          <w:rFonts w:hint="eastAsia" w:ascii="宋体" w:hAnsi="宋体" w:eastAsia="仿宋_GB2312" w:cstheme="minorBidi"/>
          <w:color w:val="auto"/>
          <w:kern w:val="2"/>
          <w:sz w:val="32"/>
          <w:szCs w:val="32"/>
          <w:lang w:val="en-US" w:eastAsia="zh-CN"/>
        </w:rPr>
        <w:t>局</w:t>
      </w:r>
      <w:r>
        <w:rPr>
          <w:rFonts w:hint="eastAsia" w:ascii="宋体" w:hAnsi="宋体" w:eastAsia="仿宋_GB2312" w:cstheme="minorBidi"/>
          <w:color w:val="auto"/>
          <w:kern w:val="2"/>
          <w:sz w:val="32"/>
          <w:szCs w:val="32"/>
        </w:rPr>
        <w:t>应当会同</w:t>
      </w:r>
      <w:r>
        <w:rPr>
          <w:rFonts w:hint="eastAsia" w:ascii="宋体" w:hAnsi="宋体" w:eastAsia="仿宋_GB2312" w:cstheme="minorBidi"/>
          <w:color w:val="auto"/>
          <w:kern w:val="2"/>
          <w:sz w:val="32"/>
          <w:szCs w:val="32"/>
          <w:lang w:val="en-US" w:eastAsia="zh-CN"/>
        </w:rPr>
        <w:t>公安分局、林业和草原分局、农牧水利局</w:t>
      </w:r>
      <w:r>
        <w:rPr>
          <w:rFonts w:hint="eastAsia" w:ascii="宋体" w:hAnsi="宋体" w:eastAsia="仿宋_GB2312" w:cstheme="minorBidi"/>
          <w:color w:val="auto"/>
          <w:kern w:val="2"/>
          <w:sz w:val="32"/>
          <w:szCs w:val="32"/>
        </w:rPr>
        <w:t>及时对森林草原火灾发生原因、肇事者、受害森林草原面积和蓄积、人员伤亡、其他经济损失等情况进行调查和评估，向</w:t>
      </w:r>
      <w:r>
        <w:rPr>
          <w:rFonts w:hint="eastAsia" w:ascii="宋体" w:hAnsi="宋体" w:eastAsia="仿宋_GB2312" w:cstheme="minorBidi"/>
          <w:color w:val="auto"/>
          <w:kern w:val="2"/>
          <w:sz w:val="32"/>
          <w:szCs w:val="32"/>
          <w:lang w:val="en-US" w:eastAsia="zh-CN"/>
        </w:rPr>
        <w:t>区</w:t>
      </w:r>
      <w:r>
        <w:rPr>
          <w:rFonts w:hint="eastAsia" w:ascii="宋体" w:hAnsi="宋体" w:eastAsia="仿宋_GB2312" w:cstheme="minorBidi"/>
          <w:color w:val="auto"/>
          <w:kern w:val="2"/>
          <w:sz w:val="32"/>
          <w:szCs w:val="32"/>
        </w:rPr>
        <w:t>政府提交评估报告。森林草原火灾损失评估标准，按照国家制定的标准执行。</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67" w:name="_Toc5433"/>
      <w:bookmarkStart w:id="168" w:name="_Toc6873"/>
      <w:bookmarkStart w:id="169" w:name="_Toc13162"/>
      <w:r>
        <w:rPr>
          <w:rFonts w:hint="eastAsia" w:ascii="黑体" w:eastAsia="黑体"/>
          <w:bCs/>
          <w:color w:val="auto"/>
          <w:kern w:val="44"/>
          <w:sz w:val="32"/>
          <w:szCs w:val="44"/>
          <w:lang w:val="en-US" w:eastAsia="zh-CN"/>
        </w:rPr>
        <w:t>8.2 工作总结</w:t>
      </w:r>
      <w:bookmarkEnd w:id="167"/>
      <w:bookmarkEnd w:id="168"/>
      <w:bookmarkEnd w:id="169"/>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各级森林草原防灭火指挥</w:t>
      </w:r>
      <w:r>
        <w:rPr>
          <w:rFonts w:hint="eastAsia" w:ascii="宋体" w:hAnsi="宋体" w:eastAsia="仿宋_GB2312" w:cstheme="minorBidi"/>
          <w:color w:val="auto"/>
          <w:kern w:val="2"/>
          <w:sz w:val="32"/>
          <w:szCs w:val="32"/>
          <w:lang w:val="en-US" w:eastAsia="zh-CN"/>
        </w:rPr>
        <w:t>部</w:t>
      </w:r>
      <w:r>
        <w:rPr>
          <w:rFonts w:hint="eastAsia" w:ascii="宋体" w:hAnsi="宋体" w:eastAsia="仿宋_GB2312" w:cstheme="minorBidi"/>
          <w:color w:val="auto"/>
          <w:kern w:val="2"/>
          <w:sz w:val="32"/>
          <w:szCs w:val="32"/>
        </w:rPr>
        <w:t>及时总结、分析火灾发生的原因和应吸取的教训，提出改进措施。重大、特别重大森林草原火灾扑救工作结束后，区森防指向区政府、市森林草原防灭火指挥部报送火灾扑救工作总结。</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70" w:name="_Toc5678"/>
      <w:bookmarkStart w:id="171" w:name="_Toc14414"/>
      <w:bookmarkStart w:id="172" w:name="_Toc7143"/>
      <w:r>
        <w:rPr>
          <w:rFonts w:hint="eastAsia" w:ascii="黑体" w:eastAsia="黑体"/>
          <w:bCs/>
          <w:color w:val="auto"/>
          <w:kern w:val="44"/>
          <w:sz w:val="32"/>
          <w:szCs w:val="44"/>
          <w:lang w:val="en-US" w:eastAsia="zh-CN"/>
        </w:rPr>
        <w:t>8.3 奖励与责任追究</w:t>
      </w:r>
      <w:bookmarkEnd w:id="170"/>
      <w:bookmarkEnd w:id="171"/>
      <w:bookmarkEnd w:id="172"/>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根据有关法律法规，对在扑火工作中贡献突出的单位和个人给予表彰和奖励，对在火灾事故中负有责任的人员追究责任。对扑火工作中牺牲人员符合评定烈士条件的，按有关规定办理。</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73" w:name="_Toc24515"/>
      <w:bookmarkStart w:id="174" w:name="_Toc12082"/>
      <w:r>
        <w:rPr>
          <w:rFonts w:hint="eastAsia" w:ascii="黑体" w:eastAsia="黑体"/>
          <w:bCs/>
          <w:color w:val="auto"/>
          <w:kern w:val="44"/>
          <w:sz w:val="32"/>
          <w:szCs w:val="44"/>
          <w:lang w:val="en-US" w:eastAsia="zh-CN"/>
        </w:rPr>
        <w:t>9 综合保障</w:t>
      </w:r>
      <w:bookmarkEnd w:id="173"/>
      <w:bookmarkEnd w:id="174"/>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75" w:name="_Toc10981"/>
      <w:bookmarkStart w:id="176" w:name="_Toc19442"/>
      <w:bookmarkStart w:id="177" w:name="_Toc4171"/>
      <w:r>
        <w:rPr>
          <w:rFonts w:hint="eastAsia" w:ascii="黑体" w:eastAsia="黑体"/>
          <w:bCs/>
          <w:color w:val="auto"/>
          <w:kern w:val="44"/>
          <w:sz w:val="32"/>
          <w:szCs w:val="44"/>
          <w:lang w:val="en-US" w:eastAsia="zh-CN"/>
        </w:rPr>
        <w:t>9.1 队伍保障</w:t>
      </w:r>
      <w:bookmarkEnd w:id="175"/>
      <w:bookmarkEnd w:id="176"/>
      <w:bookmarkEnd w:id="177"/>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扑救森林草原火灾以专业扑火队伍、森林消防</w:t>
      </w:r>
      <w:r>
        <w:rPr>
          <w:rFonts w:hint="eastAsia" w:ascii="宋体" w:hAnsi="宋体" w:eastAsia="仿宋_GB2312" w:cstheme="minorBidi"/>
          <w:color w:val="auto"/>
          <w:kern w:val="2"/>
          <w:sz w:val="32"/>
          <w:szCs w:val="32"/>
          <w:lang w:val="en-US" w:eastAsia="zh-CN"/>
        </w:rPr>
        <w:t>救援</w:t>
      </w:r>
      <w:r>
        <w:rPr>
          <w:rFonts w:hint="eastAsia" w:ascii="宋体" w:hAnsi="宋体" w:eastAsia="仿宋_GB2312" w:cstheme="minorBidi"/>
          <w:color w:val="auto"/>
          <w:kern w:val="2"/>
          <w:sz w:val="32"/>
          <w:szCs w:val="32"/>
        </w:rPr>
        <w:t>队伍</w:t>
      </w:r>
      <w:r>
        <w:rPr>
          <w:rFonts w:hint="eastAsia" w:ascii="宋体" w:hAnsi="宋体" w:eastAsia="仿宋_GB2312" w:cstheme="minorBidi"/>
          <w:color w:val="auto"/>
          <w:kern w:val="2"/>
          <w:sz w:val="32"/>
          <w:szCs w:val="32"/>
          <w:lang w:eastAsia="zh-CN"/>
        </w:rPr>
        <w:t>、</w:t>
      </w:r>
      <w:r>
        <w:rPr>
          <w:rFonts w:hint="eastAsia" w:ascii="仿宋_GB2312" w:hAnsi="仿宋_GB2312" w:eastAsia="仿宋_GB2312" w:cs="仿宋_GB2312"/>
          <w:color w:val="auto"/>
          <w:kern w:val="0"/>
          <w:sz w:val="32"/>
          <w:szCs w:val="32"/>
        </w:rPr>
        <w:t>森林消防特勤大队</w:t>
      </w:r>
      <w:r>
        <w:rPr>
          <w:rFonts w:hint="eastAsia" w:ascii="宋体" w:hAnsi="宋体" w:eastAsia="仿宋_GB2312" w:cstheme="minorBidi"/>
          <w:color w:val="auto"/>
          <w:kern w:val="2"/>
          <w:sz w:val="32"/>
          <w:szCs w:val="32"/>
        </w:rPr>
        <w:t>等受过专业培训的扑火力量为主，驻地军队、武警、民兵、预备役部队等力量为辅，必要时可动员当地林区和农区的干部职工及当地群众等力量协助扑救工作。</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78" w:name="_Toc10532"/>
      <w:bookmarkStart w:id="179" w:name="_Toc3851"/>
      <w:bookmarkStart w:id="180" w:name="_Toc6481"/>
      <w:r>
        <w:rPr>
          <w:rFonts w:hint="eastAsia" w:ascii="黑体" w:eastAsia="黑体"/>
          <w:bCs/>
          <w:color w:val="auto"/>
          <w:kern w:val="44"/>
          <w:sz w:val="32"/>
          <w:szCs w:val="44"/>
          <w:lang w:val="en-US" w:eastAsia="zh-CN"/>
        </w:rPr>
        <w:t>9.2 运输保障</w:t>
      </w:r>
      <w:bookmarkEnd w:id="178"/>
      <w:bookmarkEnd w:id="179"/>
      <w:bookmarkEnd w:id="180"/>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增援扑火兵力及携行装备的运输以公路输送方式为主。专业扑火队伍、森林消防</w:t>
      </w:r>
      <w:r>
        <w:rPr>
          <w:rFonts w:hint="eastAsia" w:ascii="宋体" w:hAnsi="宋体" w:eastAsia="仿宋_GB2312" w:cstheme="minorBidi"/>
          <w:color w:val="auto"/>
          <w:kern w:val="2"/>
          <w:sz w:val="32"/>
          <w:szCs w:val="32"/>
          <w:lang w:val="en-US" w:eastAsia="zh-CN"/>
        </w:rPr>
        <w:t>救援</w:t>
      </w:r>
      <w:r>
        <w:rPr>
          <w:rFonts w:hint="eastAsia" w:ascii="宋体" w:hAnsi="宋体" w:eastAsia="仿宋_GB2312" w:cstheme="minorBidi"/>
          <w:color w:val="auto"/>
          <w:kern w:val="2"/>
          <w:sz w:val="32"/>
          <w:szCs w:val="32"/>
        </w:rPr>
        <w:t>队伍的输送由公安、交通运输部门</w:t>
      </w:r>
      <w:r>
        <w:rPr>
          <w:rFonts w:hint="eastAsia" w:ascii="宋体" w:hAnsi="宋体" w:eastAsia="仿宋_GB2312" w:cstheme="minorBidi"/>
          <w:color w:val="auto"/>
          <w:kern w:val="2"/>
          <w:sz w:val="32"/>
          <w:szCs w:val="32"/>
          <w:lang w:val="en-US" w:eastAsia="zh-CN"/>
        </w:rPr>
        <w:t>配合</w:t>
      </w:r>
      <w:r>
        <w:rPr>
          <w:rFonts w:hint="eastAsia" w:ascii="宋体" w:hAnsi="宋体" w:eastAsia="仿宋_GB2312" w:cstheme="minorBidi"/>
          <w:color w:val="auto"/>
          <w:kern w:val="2"/>
          <w:sz w:val="32"/>
          <w:szCs w:val="32"/>
        </w:rPr>
        <w:t>实施。</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81" w:name="_Toc25283"/>
      <w:bookmarkStart w:id="182" w:name="_Toc16866"/>
      <w:bookmarkStart w:id="183" w:name="_Toc17789"/>
      <w:r>
        <w:rPr>
          <w:rFonts w:hint="eastAsia" w:ascii="黑体" w:eastAsia="黑体"/>
          <w:bCs/>
          <w:color w:val="auto"/>
          <w:kern w:val="44"/>
          <w:sz w:val="32"/>
          <w:szCs w:val="44"/>
          <w:lang w:val="en-US" w:eastAsia="zh-CN"/>
        </w:rPr>
        <w:t>9.3 航空消防飞机保障</w:t>
      </w:r>
      <w:bookmarkEnd w:id="181"/>
      <w:bookmarkEnd w:id="182"/>
      <w:bookmarkEnd w:id="183"/>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发生重大、特别重大火灾需要调动飞机支援的，由区森防向自治区</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rPr>
        <w:t>市森林草原防灭火指挥部提出请求，根据有关规定统一调动。</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84" w:name="_Toc31675"/>
      <w:bookmarkStart w:id="185" w:name="_Toc23585"/>
      <w:bookmarkStart w:id="186" w:name="_Toc18106"/>
      <w:r>
        <w:rPr>
          <w:rFonts w:hint="eastAsia" w:ascii="黑体" w:eastAsia="黑体"/>
          <w:bCs/>
          <w:color w:val="auto"/>
          <w:kern w:val="44"/>
          <w:sz w:val="32"/>
          <w:szCs w:val="44"/>
          <w:lang w:val="en-US" w:eastAsia="zh-CN"/>
        </w:rPr>
        <w:t>9.4 通信与信息保障</w:t>
      </w:r>
      <w:bookmarkEnd w:id="184"/>
      <w:bookmarkEnd w:id="185"/>
      <w:bookmarkEnd w:id="186"/>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区森防指将建立健全森林草原防灭火应急通信保障体系，配备与扑火需要相适应的通信设备和通信指挥车。通信保障部门应保障在紧急状态下扑救森林草原火灾时的通信畅通。应急管理</w:t>
      </w:r>
      <w:r>
        <w:rPr>
          <w:rFonts w:hint="eastAsia" w:ascii="宋体" w:hAnsi="宋体" w:eastAsia="仿宋_GB2312" w:cstheme="minorBidi"/>
          <w:color w:val="auto"/>
          <w:kern w:val="2"/>
          <w:sz w:val="32"/>
          <w:szCs w:val="32"/>
          <w:lang w:val="en-US" w:eastAsia="zh-CN"/>
        </w:rPr>
        <w:t>局</w:t>
      </w:r>
      <w:r>
        <w:rPr>
          <w:rFonts w:hint="eastAsia" w:ascii="宋体" w:hAnsi="宋体" w:eastAsia="仿宋_GB2312" w:cstheme="minorBidi"/>
          <w:color w:val="auto"/>
          <w:kern w:val="2"/>
          <w:sz w:val="32"/>
          <w:szCs w:val="32"/>
        </w:rPr>
        <w:t>、</w:t>
      </w:r>
      <w:r>
        <w:rPr>
          <w:rFonts w:hint="eastAsia" w:ascii="宋体" w:hAnsi="宋体" w:eastAsia="仿宋_GB2312" w:cstheme="minorBidi"/>
          <w:color w:val="auto"/>
          <w:kern w:val="2"/>
          <w:sz w:val="32"/>
          <w:szCs w:val="32"/>
          <w:lang w:val="en-US" w:eastAsia="zh-CN"/>
        </w:rPr>
        <w:t>林业和草原局</w:t>
      </w:r>
      <w:r>
        <w:rPr>
          <w:rFonts w:hint="eastAsia" w:ascii="宋体" w:hAnsi="宋体" w:eastAsia="仿宋_GB2312" w:cstheme="minorBidi"/>
          <w:color w:val="auto"/>
          <w:kern w:val="2"/>
          <w:sz w:val="32"/>
          <w:szCs w:val="32"/>
        </w:rPr>
        <w:t>、气象</w:t>
      </w:r>
      <w:r>
        <w:rPr>
          <w:rFonts w:hint="eastAsia" w:ascii="宋体" w:hAnsi="宋体" w:eastAsia="仿宋_GB2312" w:cstheme="minorBidi"/>
          <w:color w:val="auto"/>
          <w:kern w:val="2"/>
          <w:sz w:val="32"/>
          <w:szCs w:val="32"/>
          <w:lang w:val="en-US" w:eastAsia="zh-CN"/>
        </w:rPr>
        <w:t>分局</w:t>
      </w:r>
      <w:r>
        <w:rPr>
          <w:rFonts w:hint="eastAsia" w:ascii="宋体" w:hAnsi="宋体" w:eastAsia="仿宋_GB2312" w:cstheme="minorBidi"/>
          <w:color w:val="auto"/>
          <w:kern w:val="2"/>
          <w:sz w:val="32"/>
          <w:szCs w:val="32"/>
        </w:rPr>
        <w:t>、</w:t>
      </w:r>
      <w:r>
        <w:rPr>
          <w:rFonts w:hint="eastAsia" w:ascii="宋体" w:hAnsi="宋体" w:eastAsia="仿宋_GB2312" w:cstheme="minorBidi"/>
          <w:color w:val="auto"/>
          <w:kern w:val="2"/>
          <w:sz w:val="32"/>
          <w:szCs w:val="32"/>
          <w:lang w:val="en-US" w:eastAsia="zh-CN"/>
        </w:rPr>
        <w:t>农牧水利局、</w:t>
      </w:r>
      <w:r>
        <w:rPr>
          <w:rFonts w:hint="eastAsia" w:ascii="宋体" w:hAnsi="宋体" w:eastAsia="仿宋_GB2312" w:cstheme="minorBidi"/>
          <w:color w:val="auto"/>
          <w:kern w:val="2"/>
          <w:sz w:val="32"/>
          <w:szCs w:val="32"/>
        </w:rPr>
        <w:t>自然资源</w:t>
      </w:r>
      <w:r>
        <w:rPr>
          <w:rFonts w:hint="eastAsia" w:ascii="宋体" w:hAnsi="宋体" w:eastAsia="仿宋_GB2312" w:cstheme="minorBidi"/>
          <w:color w:val="auto"/>
          <w:kern w:val="2"/>
          <w:sz w:val="32"/>
          <w:szCs w:val="32"/>
          <w:lang w:val="en-US" w:eastAsia="zh-CN"/>
        </w:rPr>
        <w:t>分局</w:t>
      </w:r>
      <w:r>
        <w:rPr>
          <w:rFonts w:hint="eastAsia" w:ascii="宋体" w:hAnsi="宋体" w:eastAsia="仿宋_GB2312" w:cstheme="minorBidi"/>
          <w:color w:val="auto"/>
          <w:kern w:val="2"/>
          <w:sz w:val="32"/>
          <w:szCs w:val="32"/>
        </w:rPr>
        <w:t>等部门及时提供天气形势分析数据、卫星林火监测云图、火场实况图片图像、电子地图及火情调度等信息，为扑火指挥提供辅助决策支持。</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87" w:name="_Toc30361"/>
      <w:bookmarkStart w:id="188" w:name="_Toc8233"/>
      <w:bookmarkStart w:id="189" w:name="_Toc32438"/>
      <w:r>
        <w:rPr>
          <w:rFonts w:hint="eastAsia" w:ascii="黑体" w:eastAsia="黑体"/>
          <w:bCs/>
          <w:color w:val="auto"/>
          <w:kern w:val="44"/>
          <w:sz w:val="32"/>
          <w:szCs w:val="44"/>
          <w:lang w:val="en-US" w:eastAsia="zh-CN"/>
        </w:rPr>
        <w:t>9.5 物资保障</w:t>
      </w:r>
      <w:bookmarkEnd w:id="187"/>
      <w:bookmarkEnd w:id="188"/>
      <w:bookmarkEnd w:id="189"/>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区森防指应当加强重点林区、牧区的森林草原防灭火物资储备库建设，储备扑火机具和物资，用于各地扑火需要，必要时请求市</w:t>
      </w:r>
      <w:r>
        <w:rPr>
          <w:rFonts w:hint="eastAsia" w:ascii="宋体" w:hAnsi="宋体" w:eastAsia="仿宋_GB2312" w:cstheme="minorBidi"/>
          <w:color w:val="auto"/>
          <w:kern w:val="2"/>
          <w:sz w:val="32"/>
          <w:szCs w:val="32"/>
          <w:lang w:val="en-US" w:eastAsia="zh-CN"/>
        </w:rPr>
        <w:t>森防指</w:t>
      </w:r>
      <w:r>
        <w:rPr>
          <w:rFonts w:hint="eastAsia" w:ascii="宋体" w:hAnsi="宋体" w:eastAsia="仿宋_GB2312" w:cstheme="minorBidi"/>
          <w:color w:val="auto"/>
          <w:kern w:val="2"/>
          <w:sz w:val="32"/>
          <w:szCs w:val="32"/>
        </w:rPr>
        <w:t>支援。</w:t>
      </w:r>
      <w:r>
        <w:rPr>
          <w:rFonts w:hint="eastAsia" w:ascii="宋体" w:hAnsi="宋体" w:eastAsia="仿宋_GB2312" w:cstheme="minorBidi"/>
          <w:color w:val="auto"/>
          <w:kern w:val="2"/>
          <w:sz w:val="32"/>
          <w:szCs w:val="32"/>
          <w:lang w:val="en-US" w:eastAsia="zh-CN"/>
        </w:rPr>
        <w:t>成吉思汗大街街道办事处</w:t>
      </w:r>
      <w:r>
        <w:rPr>
          <w:rFonts w:hint="eastAsia" w:ascii="宋体" w:hAnsi="宋体" w:eastAsia="仿宋_GB2312" w:cstheme="minorBidi"/>
          <w:color w:val="auto"/>
          <w:kern w:val="2"/>
          <w:sz w:val="32"/>
          <w:szCs w:val="32"/>
        </w:rPr>
        <w:t>、</w:t>
      </w:r>
      <w:r>
        <w:rPr>
          <w:rFonts w:hint="eastAsia" w:ascii="宋体" w:hAnsi="宋体" w:eastAsia="仿宋_GB2312" w:cstheme="minorBidi"/>
          <w:color w:val="auto"/>
          <w:kern w:val="2"/>
          <w:sz w:val="32"/>
          <w:szCs w:val="32"/>
          <w:lang w:val="en-US" w:eastAsia="zh-CN"/>
        </w:rPr>
        <w:t>保和少镇、古路板管理站及相关</w:t>
      </w:r>
      <w:r>
        <w:rPr>
          <w:rFonts w:hint="eastAsia" w:ascii="宋体" w:hAnsi="宋体" w:eastAsia="仿宋_GB2312" w:cstheme="minorBidi"/>
          <w:color w:val="auto"/>
          <w:kern w:val="2"/>
          <w:sz w:val="32"/>
          <w:szCs w:val="32"/>
        </w:rPr>
        <w:t>村（居</w:t>
      </w:r>
      <w:r>
        <w:rPr>
          <w:rFonts w:hint="eastAsia" w:ascii="宋体" w:hAnsi="宋体" w:eastAsia="仿宋_GB2312" w:cstheme="minorBidi"/>
          <w:color w:val="auto"/>
          <w:kern w:val="2"/>
          <w:sz w:val="32"/>
          <w:szCs w:val="32"/>
          <w:lang w:eastAsia="zh-CN"/>
        </w:rPr>
        <w:t>、</w:t>
      </w:r>
      <w:r>
        <w:rPr>
          <w:rFonts w:hint="eastAsia" w:ascii="宋体" w:hAnsi="宋体" w:eastAsia="仿宋_GB2312" w:cstheme="minorBidi"/>
          <w:color w:val="auto"/>
          <w:kern w:val="2"/>
          <w:sz w:val="32"/>
          <w:szCs w:val="32"/>
          <w:lang w:val="en-US" w:eastAsia="zh-CN"/>
        </w:rPr>
        <w:t>社区</w:t>
      </w:r>
      <w:r>
        <w:rPr>
          <w:rFonts w:hint="eastAsia" w:ascii="宋体" w:hAnsi="宋体" w:eastAsia="仿宋_GB2312" w:cstheme="minorBidi"/>
          <w:color w:val="auto"/>
          <w:kern w:val="2"/>
          <w:sz w:val="32"/>
          <w:szCs w:val="32"/>
        </w:rPr>
        <w:t>）根据本地森林草原防灭火工作需要，建立森林草原防灭火物资储备库，储备所需的扑火机具和物资，确保保障到位。</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90" w:name="_Toc7275"/>
      <w:bookmarkStart w:id="191" w:name="_Toc923"/>
      <w:bookmarkStart w:id="192" w:name="_Toc26148"/>
      <w:r>
        <w:rPr>
          <w:rFonts w:hint="eastAsia" w:ascii="黑体" w:eastAsia="黑体"/>
          <w:bCs/>
          <w:color w:val="auto"/>
          <w:kern w:val="44"/>
          <w:sz w:val="32"/>
          <w:szCs w:val="44"/>
          <w:lang w:val="en-US" w:eastAsia="zh-CN"/>
        </w:rPr>
        <w:t>9.6 资金保障</w:t>
      </w:r>
      <w:bookmarkEnd w:id="190"/>
      <w:bookmarkEnd w:id="191"/>
      <w:bookmarkEnd w:id="192"/>
    </w:p>
    <w:p>
      <w:pPr>
        <w:pStyle w:val="12"/>
        <w:pageBreakBefore w:val="0"/>
        <w:widowControl w:val="0"/>
        <w:kinsoku/>
        <w:wordWrap/>
        <w:overflowPunct/>
        <w:topLinePunct w:val="0"/>
        <w:autoSpaceDE/>
        <w:autoSpaceDN/>
        <w:bidi w:val="0"/>
        <w:spacing w:beforeAutospacing="0" w:afterAutospacing="0" w:line="360" w:lineRule="auto"/>
        <w:ind w:firstLine="640" w:firstLineChars="200"/>
        <w:jc w:val="both"/>
        <w:textAlignment w:val="auto"/>
        <w:rPr>
          <w:color w:val="auto"/>
        </w:rPr>
      </w:pPr>
      <w:r>
        <w:rPr>
          <w:rFonts w:hint="eastAsia" w:ascii="宋体" w:hAnsi="宋体" w:eastAsia="仿宋_GB2312" w:cstheme="minorBidi"/>
          <w:color w:val="auto"/>
          <w:kern w:val="2"/>
          <w:sz w:val="32"/>
          <w:szCs w:val="32"/>
        </w:rPr>
        <w:t>区政府将森林草原防灭火基础设施建设纳入本级国民经济和社会发展规划，年度防灭火经费纳入本级财政预算，保障森林草原防灭火工作开展。同时财政</w:t>
      </w:r>
      <w:r>
        <w:rPr>
          <w:rFonts w:hint="eastAsia" w:ascii="宋体" w:hAnsi="宋体" w:eastAsia="仿宋_GB2312" w:cstheme="minorBidi"/>
          <w:color w:val="auto"/>
          <w:kern w:val="2"/>
          <w:sz w:val="32"/>
          <w:szCs w:val="32"/>
          <w:lang w:val="en-US" w:eastAsia="zh-CN"/>
        </w:rPr>
        <w:t>局</w:t>
      </w:r>
      <w:r>
        <w:rPr>
          <w:rFonts w:hint="eastAsia" w:ascii="宋体" w:hAnsi="宋体" w:eastAsia="仿宋_GB2312" w:cstheme="minorBidi"/>
          <w:color w:val="auto"/>
          <w:kern w:val="2"/>
          <w:sz w:val="32"/>
          <w:szCs w:val="32"/>
        </w:rPr>
        <w:t>应预留处置重特大森林草原火灾储备金，确保应急需要。</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193" w:name="_Toc3236"/>
      <w:bookmarkStart w:id="194" w:name="_Toc14068"/>
      <w:bookmarkStart w:id="195" w:name="_Toc31299"/>
      <w:r>
        <w:rPr>
          <w:rFonts w:hint="eastAsia" w:ascii="黑体" w:eastAsia="黑体"/>
          <w:bCs/>
          <w:color w:val="auto"/>
          <w:kern w:val="44"/>
          <w:sz w:val="32"/>
          <w:szCs w:val="44"/>
          <w:lang w:val="en-US" w:eastAsia="zh-CN"/>
        </w:rPr>
        <w:t xml:space="preserve">10 </w:t>
      </w:r>
      <w:bookmarkEnd w:id="193"/>
      <w:r>
        <w:rPr>
          <w:rFonts w:hint="eastAsia" w:ascii="黑体" w:eastAsia="黑体"/>
          <w:bCs/>
          <w:color w:val="auto"/>
          <w:kern w:val="44"/>
          <w:sz w:val="32"/>
          <w:szCs w:val="44"/>
          <w:lang w:val="en-US" w:eastAsia="zh-CN"/>
        </w:rPr>
        <w:t>附则</w:t>
      </w:r>
      <w:bookmarkEnd w:id="194"/>
      <w:bookmarkEnd w:id="195"/>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96" w:name="_Toc20713"/>
      <w:bookmarkStart w:id="197" w:name="_Toc21564"/>
      <w:bookmarkStart w:id="198" w:name="_Toc30431"/>
      <w:r>
        <w:rPr>
          <w:rFonts w:hint="eastAsia" w:ascii="黑体" w:eastAsia="黑体"/>
          <w:bCs/>
          <w:color w:val="auto"/>
          <w:kern w:val="44"/>
          <w:sz w:val="32"/>
          <w:szCs w:val="44"/>
          <w:lang w:val="en-US" w:eastAsia="zh-CN"/>
        </w:rPr>
        <w:t>10.1 预案培训与演练</w:t>
      </w:r>
      <w:bookmarkEnd w:id="196"/>
      <w:bookmarkEnd w:id="197"/>
      <w:bookmarkEnd w:id="198"/>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预案实施后，区森防指会同有关部门组织预案宣传、培训和演练，并根据实际情况，适时组织进行评估和修订。各镇（</w:t>
      </w:r>
      <w:r>
        <w:rPr>
          <w:rFonts w:hint="eastAsia" w:ascii="宋体" w:hAnsi="宋体" w:eastAsia="仿宋_GB2312" w:cstheme="minorBidi"/>
          <w:color w:val="auto"/>
          <w:kern w:val="2"/>
          <w:sz w:val="32"/>
          <w:szCs w:val="32"/>
          <w:lang w:val="en-US" w:eastAsia="zh-CN"/>
        </w:rPr>
        <w:t>街道</w:t>
      </w:r>
      <w:r>
        <w:rPr>
          <w:rFonts w:hint="eastAsia" w:ascii="宋体" w:hAnsi="宋体" w:eastAsia="仿宋_GB2312" w:cstheme="minorBidi"/>
          <w:color w:val="auto"/>
          <w:kern w:val="2"/>
          <w:sz w:val="32"/>
          <w:szCs w:val="32"/>
        </w:rPr>
        <w:t>）及森林草原经营主体结合实际修订和完善森林草原火灾应急预案，并上报区</w:t>
      </w:r>
      <w:r>
        <w:rPr>
          <w:rFonts w:hint="eastAsia" w:ascii="宋体" w:hAnsi="宋体" w:eastAsia="仿宋_GB2312" w:cstheme="minorBidi"/>
          <w:color w:val="auto"/>
          <w:kern w:val="2"/>
          <w:sz w:val="32"/>
          <w:szCs w:val="32"/>
          <w:lang w:val="en-US" w:eastAsia="zh-CN"/>
        </w:rPr>
        <w:t>森</w:t>
      </w:r>
      <w:r>
        <w:rPr>
          <w:rFonts w:hint="eastAsia" w:ascii="宋体" w:hAnsi="宋体" w:eastAsia="仿宋_GB2312" w:cstheme="minorBidi"/>
          <w:color w:val="auto"/>
          <w:kern w:val="2"/>
          <w:sz w:val="32"/>
          <w:szCs w:val="32"/>
        </w:rPr>
        <w:t>防</w:t>
      </w:r>
      <w:r>
        <w:rPr>
          <w:rFonts w:hint="eastAsia" w:ascii="宋体" w:hAnsi="宋体" w:eastAsia="仿宋_GB2312" w:cstheme="minorBidi"/>
          <w:color w:val="auto"/>
          <w:kern w:val="2"/>
          <w:sz w:val="32"/>
          <w:szCs w:val="32"/>
          <w:lang w:val="en-US" w:eastAsia="zh-CN"/>
        </w:rPr>
        <w:t>指办公室</w:t>
      </w:r>
      <w:r>
        <w:rPr>
          <w:rFonts w:hint="eastAsia" w:ascii="宋体" w:hAnsi="宋体" w:eastAsia="仿宋_GB2312" w:cstheme="minorBidi"/>
          <w:color w:val="auto"/>
          <w:kern w:val="2"/>
          <w:sz w:val="32"/>
          <w:szCs w:val="32"/>
        </w:rPr>
        <w:t>备案。</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199" w:name="_Toc17177"/>
      <w:bookmarkStart w:id="200" w:name="_Toc19861"/>
      <w:bookmarkStart w:id="201" w:name="_Toc14718"/>
      <w:r>
        <w:rPr>
          <w:rFonts w:hint="eastAsia" w:ascii="黑体" w:eastAsia="黑体"/>
          <w:bCs/>
          <w:color w:val="auto"/>
          <w:kern w:val="44"/>
          <w:sz w:val="32"/>
          <w:szCs w:val="44"/>
          <w:lang w:val="en-US" w:eastAsia="zh-CN"/>
        </w:rPr>
        <w:t>10.2 预案解释</w:t>
      </w:r>
      <w:bookmarkEnd w:id="199"/>
      <w:bookmarkEnd w:id="200"/>
      <w:bookmarkEnd w:id="201"/>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本预案由新城区森林草原防灭火指挥部负责解释。</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202" w:name="_Toc15748"/>
      <w:bookmarkStart w:id="203" w:name="_Toc7250"/>
      <w:bookmarkStart w:id="204" w:name="_Toc17160"/>
      <w:r>
        <w:rPr>
          <w:rFonts w:hint="eastAsia" w:ascii="黑体" w:eastAsia="黑体"/>
          <w:bCs/>
          <w:color w:val="auto"/>
          <w:kern w:val="44"/>
          <w:sz w:val="32"/>
          <w:szCs w:val="44"/>
          <w:lang w:val="en-US" w:eastAsia="zh-CN"/>
        </w:rPr>
        <w:t>10.3 预案实施时间</w:t>
      </w:r>
      <w:bookmarkEnd w:id="202"/>
      <w:bookmarkEnd w:id="203"/>
      <w:bookmarkEnd w:id="204"/>
    </w:p>
    <w:p>
      <w:pPr>
        <w:pStyle w:val="12"/>
        <w:pageBreakBefore w:val="0"/>
        <w:widowControl w:val="0"/>
        <w:kinsoku/>
        <w:wordWrap/>
        <w:overflowPunct/>
        <w:topLinePunct w:val="0"/>
        <w:autoSpaceDE/>
        <w:autoSpaceDN/>
        <w:bidi w:val="0"/>
        <w:spacing w:beforeAutospacing="0" w:afterAutospacing="0" w:line="360" w:lineRule="auto"/>
        <w:ind w:firstLine="640" w:firstLineChars="200"/>
        <w:textAlignment w:val="auto"/>
        <w:rPr>
          <w:rFonts w:ascii="宋体" w:hAnsi="宋体" w:eastAsia="仿宋_GB2312" w:cstheme="minorBidi"/>
          <w:color w:val="auto"/>
          <w:kern w:val="2"/>
          <w:sz w:val="32"/>
          <w:szCs w:val="32"/>
        </w:rPr>
      </w:pPr>
      <w:r>
        <w:rPr>
          <w:rFonts w:hint="eastAsia" w:ascii="宋体" w:hAnsi="宋体" w:eastAsia="仿宋_GB2312" w:cstheme="minorBidi"/>
          <w:color w:val="auto"/>
          <w:kern w:val="2"/>
          <w:sz w:val="32"/>
          <w:szCs w:val="32"/>
        </w:rPr>
        <w:t>本预案自印发之日起实施。</w:t>
      </w:r>
    </w:p>
    <w:p>
      <w:pPr>
        <w:pageBreakBefore w:val="0"/>
        <w:widowControl w:val="0"/>
        <w:tabs>
          <w:tab w:val="left" w:pos="320"/>
        </w:tabs>
        <w:kinsoku/>
        <w:wordWrap/>
        <w:overflowPunct/>
        <w:topLinePunct w:val="0"/>
        <w:autoSpaceDE/>
        <w:autoSpaceDN/>
        <w:bidi w:val="0"/>
        <w:spacing w:line="360" w:lineRule="auto"/>
        <w:ind w:firstLine="420" w:firstLineChars="200"/>
        <w:jc w:val="left"/>
        <w:textAlignment w:val="auto"/>
        <w:rPr>
          <w:color w:val="auto"/>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0"/>
        <w:rPr>
          <w:rFonts w:hint="eastAsia" w:ascii="黑体" w:eastAsia="黑体"/>
          <w:bCs/>
          <w:color w:val="auto"/>
          <w:kern w:val="44"/>
          <w:sz w:val="32"/>
          <w:szCs w:val="44"/>
          <w:lang w:val="en-US" w:eastAsia="zh-CN"/>
        </w:rPr>
      </w:pPr>
      <w:bookmarkStart w:id="205" w:name="_Toc29244"/>
      <w:bookmarkStart w:id="206" w:name="_Toc17525"/>
      <w:bookmarkStart w:id="207" w:name="_Toc29035"/>
      <w:r>
        <w:rPr>
          <w:rFonts w:hint="eastAsia" w:ascii="黑体" w:eastAsia="黑体"/>
          <w:bCs/>
          <w:color w:val="auto"/>
          <w:kern w:val="44"/>
          <w:sz w:val="32"/>
          <w:szCs w:val="44"/>
          <w:lang w:val="en-US" w:eastAsia="zh-CN"/>
        </w:rPr>
        <w:t>11 附件</w:t>
      </w:r>
      <w:bookmarkEnd w:id="205"/>
      <w:bookmarkEnd w:id="206"/>
      <w:bookmarkEnd w:id="207"/>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208" w:name="_Toc24"/>
      <w:bookmarkStart w:id="209" w:name="_Toc21138"/>
      <w:bookmarkStart w:id="210" w:name="_Toc6468"/>
      <w:r>
        <w:rPr>
          <w:rFonts w:hint="eastAsia" w:ascii="黑体" w:eastAsia="黑体"/>
          <w:bCs/>
          <w:color w:val="auto"/>
          <w:kern w:val="44"/>
          <w:sz w:val="32"/>
          <w:szCs w:val="44"/>
          <w:lang w:val="en-US" w:eastAsia="zh-CN"/>
        </w:rPr>
        <w:t xml:space="preserve">附件1 </w:t>
      </w:r>
      <w:bookmarkEnd w:id="208"/>
      <w:bookmarkEnd w:id="209"/>
      <w:r>
        <w:rPr>
          <w:rFonts w:hint="eastAsia" w:ascii="黑体" w:eastAsia="黑体"/>
          <w:bCs/>
          <w:color w:val="auto"/>
          <w:kern w:val="44"/>
          <w:sz w:val="32"/>
          <w:szCs w:val="44"/>
          <w:lang w:val="en-US" w:eastAsia="zh-CN"/>
        </w:rPr>
        <w:t>新城区专业和半专业扑火队火险预警响应状态</w:t>
      </w:r>
      <w:bookmarkEnd w:id="210"/>
    </w:p>
    <w:tbl>
      <w:tblPr>
        <w:tblStyle w:val="14"/>
        <w:tblW w:w="94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40"/>
        <w:gridCol w:w="468"/>
        <w:gridCol w:w="3481"/>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火</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险等级</w:t>
            </w:r>
          </w:p>
        </w:tc>
        <w:tc>
          <w:tcPr>
            <w:tcW w:w="1040"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森林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草原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火险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描述</w:t>
            </w:r>
          </w:p>
        </w:tc>
        <w:tc>
          <w:tcPr>
            <w:tcW w:w="468"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态</w:t>
            </w:r>
          </w:p>
        </w:tc>
        <w:tc>
          <w:tcPr>
            <w:tcW w:w="3481"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专业森林草原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扑火队工作标准</w:t>
            </w:r>
          </w:p>
        </w:tc>
        <w:tc>
          <w:tcPr>
            <w:tcW w:w="3906"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半专业森林草原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扑火队工作标准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54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险</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森林草原可燃物极度干燥易燃，易迅猛蔓延，具有极危险。</w:t>
            </w: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警</w:t>
            </w:r>
          </w:p>
        </w:tc>
        <w:tc>
          <w:tcPr>
            <w:tcW w:w="348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值班员时刻坚守岗位，扑火机具、油料和车辆放置于规定位置。在白天处于一级待发状态，5分钟内完成出动。夜间保持二级待发状态，15分钟内完成出动。负责人全部在位，着装和携（运）设备、机具按本地扑火和支援扑火分类准备并符合规定标准。</w:t>
            </w:r>
          </w:p>
        </w:tc>
        <w:tc>
          <w:tcPr>
            <w:tcW w:w="3906"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值班员时刻坚守岗位，扑火机具、油料和车辆放置于规定位置，全天处于二级待发状态。负责人全部在位，下班时间延长到21时，夜间集结不超过20分钟，接扑火命令后10分钟内完成出动，着装和携（运）设备、机具符合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54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险</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森林草原可燃物很容易被点燃，易形成强烈火势快速蔓延，具有高危险。</w:t>
            </w: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警</w:t>
            </w:r>
          </w:p>
        </w:tc>
        <w:tc>
          <w:tcPr>
            <w:tcW w:w="348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值班员时刻坚守岗位，扑火机具、油料和车辆放置于规定位置，全天处于二级待发状态。负责人全部在位，接扑火命令后15分钟内完成出动，着装和携（运）设备、机具符合规定标准。</w:t>
            </w:r>
          </w:p>
        </w:tc>
        <w:tc>
          <w:tcPr>
            <w:tcW w:w="3906"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值班员时刻坚守岗位，扑火机具、油料和车辆放置于规定位置，全天处于二级待发状态。负责人全部在位，下班时间延长到21时，夜间集结不超过25分钟，接扑火命令后10分钟内完成出动，着装和携（运）设备、机具符合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54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险</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森林草原可燃物较易点燃蔓延，具有中度危险。</w:t>
            </w: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警</w:t>
            </w:r>
          </w:p>
        </w:tc>
        <w:tc>
          <w:tcPr>
            <w:tcW w:w="348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值班员时刻坚守岗位，扑火机具、油料和车辆放置于规定位置，处于二级待发状态。负责人至少1人在位，接扑火命令后15分钟内完成出动，着装和携（运）设备、机具符合规定标准。</w:t>
            </w:r>
          </w:p>
        </w:tc>
        <w:tc>
          <w:tcPr>
            <w:tcW w:w="3906"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机具、车辆集中摆放，加足油料，随时待用，队员每天早8时前集中待命或整修机具等，中午就地用餐，晚18时下班。夜间能在25分钟内集结，10分钟完成出动且机具、装备齐全。负责人全天在岗。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54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险</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森林草原可燃物难以燃烧蔓延，低度危险。</w:t>
            </w:r>
          </w:p>
        </w:tc>
        <w:tc>
          <w:tcPr>
            <w:tcW w:w="4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蓝色预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警</w:t>
            </w:r>
          </w:p>
        </w:tc>
        <w:tc>
          <w:tcPr>
            <w:tcW w:w="348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全体队员不外出，不准假，适当进行学习和训练，维护检修设备，电台开机，车辆待命，遇有火情在30分钟内完成出动。</w:t>
            </w:r>
          </w:p>
        </w:tc>
        <w:tc>
          <w:tcPr>
            <w:tcW w:w="3906"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全体队员白天集中待命，或在场区附近劳动，电台开机，车辆待命，遇有火情在30分钟内完成出动。夜间机具库能随时打开，在30分钟内集结，15分钟完成出动且机具、装备齐全。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435" w:type="dxa"/>
            <w:gridSpan w:val="5"/>
            <w:tcBorders>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snapToGrid/>
              <w:spacing w:line="360" w:lineRule="auto"/>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snapToGrid w:val="0"/>
                <w:color w:val="auto"/>
                <w:kern w:val="0"/>
                <w:sz w:val="24"/>
                <w:szCs w:val="24"/>
              </w:rPr>
              <w:t>备注：森林消防队伍火险预警响应根据实际及时进行战备等级转换。</w:t>
            </w:r>
          </w:p>
        </w:tc>
      </w:tr>
    </w:tbl>
    <w:p>
      <w:pPr>
        <w:pageBreakBefore w:val="0"/>
        <w:widowControl w:val="0"/>
        <w:kinsoku/>
        <w:wordWrap/>
        <w:overflowPunct/>
        <w:topLinePunct w:val="0"/>
        <w:autoSpaceDE/>
        <w:autoSpaceDN/>
        <w:bidi w:val="0"/>
        <w:spacing w:line="360" w:lineRule="auto"/>
        <w:textAlignment w:val="auto"/>
        <w:rPr>
          <w:rFonts w:ascii="仿宋" w:hAnsi="仿宋" w:eastAsia="仿宋"/>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eastAsia="黑体"/>
          <w:bCs/>
          <w:color w:val="auto"/>
          <w:kern w:val="44"/>
          <w:sz w:val="32"/>
          <w:szCs w:val="44"/>
          <w:lang w:val="en-US" w:eastAsia="zh-CN"/>
        </w:rPr>
      </w:pPr>
      <w:bookmarkStart w:id="211" w:name="_Toc4089"/>
      <w:r>
        <w:rPr>
          <w:rFonts w:hint="eastAsia" w:ascii="黑体" w:eastAsia="黑体"/>
          <w:bCs/>
          <w:color w:val="auto"/>
          <w:kern w:val="44"/>
          <w:sz w:val="32"/>
          <w:szCs w:val="44"/>
          <w:lang w:val="en-US" w:eastAsia="zh-CN"/>
        </w:rPr>
        <w:t>附件2 新城区森林草原防灭火指挥部通讯录</w:t>
      </w:r>
      <w:bookmarkEnd w:id="211"/>
      <w:r>
        <w:rPr>
          <w:rFonts w:hint="eastAsia" w:ascii="黑体" w:eastAsia="黑体"/>
          <w:bCs/>
          <w:color w:val="auto"/>
          <w:kern w:val="44"/>
          <w:sz w:val="32"/>
          <w:szCs w:val="44"/>
          <w:lang w:val="en-US" w:eastAsia="zh-CN"/>
        </w:rPr>
        <w:t>（略）</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212" w:name="_Toc30217"/>
      <w:r>
        <w:rPr>
          <w:rFonts w:hint="eastAsia" w:ascii="黑体" w:eastAsia="黑体"/>
          <w:bCs/>
          <w:color w:val="auto"/>
          <w:kern w:val="44"/>
          <w:sz w:val="32"/>
          <w:szCs w:val="44"/>
          <w:lang w:val="en-US" w:eastAsia="zh-CN"/>
        </w:rPr>
        <w:t>附件3 新城区森林草原火灾等级和划分标准</w:t>
      </w:r>
      <w:bookmarkEnd w:id="212"/>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黑体" w:hAnsi="黑体" w:eastAsia="黑体" w:cs="黑体"/>
          <w:b w:val="0"/>
          <w:bCs/>
          <w:color w:val="auto"/>
          <w:spacing w:val="8"/>
          <w:kern w:val="0"/>
          <w:sz w:val="32"/>
          <w:szCs w:val="32"/>
        </w:rPr>
      </w:pPr>
      <w:r>
        <w:rPr>
          <w:rFonts w:hint="eastAsia" w:ascii="黑体" w:hAnsi="黑体" w:eastAsia="黑体" w:cs="黑体"/>
          <w:b w:val="0"/>
          <w:bCs/>
          <w:color w:val="auto"/>
          <w:spacing w:val="8"/>
          <w:kern w:val="0"/>
          <w:sz w:val="32"/>
          <w:szCs w:val="32"/>
        </w:rPr>
        <w:t>一、森林火灾灾害分级标准</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一般森林火灾：受害森林面积在1公顷以下或者其他林地起火的，或者死亡1人以上3人以下的，或者重伤1人以上10人以下的；</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较大森林火灾：受害森林面积在1公顷以上100公顷以下的，或者死亡3人以上10人以下的，或者重伤10人以上50人以下的；</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重大森林火灾：受害森林面积在100公顷以上1000公顷以下的，或者死亡10人以上30人以下的，或者重伤50人以上100人以下的；</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特别重大森林火灾：受害森林面积在1000公顷以上的，或者死亡30人以上的，或者重伤100人以上的。</w:t>
      </w:r>
    </w:p>
    <w:p>
      <w:pPr>
        <w:pageBreakBefore w:val="0"/>
        <w:widowControl w:val="0"/>
        <w:kinsoku/>
        <w:wordWrap/>
        <w:overflowPunct/>
        <w:topLinePunct w:val="0"/>
        <w:autoSpaceDE/>
        <w:autoSpaceDN/>
        <w:bidi w:val="0"/>
        <w:spacing w:line="360" w:lineRule="auto"/>
        <w:ind w:firstLine="672" w:firstLineChars="200"/>
        <w:textAlignment w:val="auto"/>
        <w:outlineLvl w:val="9"/>
        <w:rPr>
          <w:rFonts w:hint="eastAsia" w:ascii="仿宋_GB2312" w:hAnsi="仿宋_GB2312" w:eastAsia="仿宋_GB2312" w:cs="仿宋_GB2312"/>
          <w:color w:val="auto"/>
          <w:spacing w:val="8"/>
          <w:kern w:val="0"/>
          <w:sz w:val="32"/>
          <w:szCs w:val="32"/>
          <w:lang w:eastAsia="zh-CN"/>
        </w:rPr>
      </w:pPr>
      <w:r>
        <w:rPr>
          <w:rFonts w:hint="eastAsia" w:ascii="仿宋_GB2312" w:hAnsi="仿宋_GB2312" w:eastAsia="仿宋_GB2312" w:cs="仿宋_GB2312"/>
          <w:color w:val="auto"/>
          <w:spacing w:val="8"/>
          <w:kern w:val="0"/>
          <w:sz w:val="32"/>
          <w:szCs w:val="32"/>
          <w:lang w:eastAsia="zh-CN"/>
        </w:rPr>
        <w:t>注：</w:t>
      </w:r>
      <w:r>
        <w:rPr>
          <w:rFonts w:hint="eastAsia" w:ascii="仿宋_GB2312" w:hAnsi="仿宋_GB2312" w:eastAsia="仿宋_GB2312" w:cs="仿宋_GB2312"/>
          <w:i w:val="0"/>
          <w:iCs w:val="0"/>
          <w:caps w:val="0"/>
          <w:color w:val="auto"/>
          <w:spacing w:val="8"/>
          <w:kern w:val="0"/>
          <w:sz w:val="32"/>
          <w:szCs w:val="32"/>
          <w:shd w:val="clear" w:fill="FFFFFF"/>
        </w:rPr>
        <w:t>“以上”包括本数，“以下”不包括本数</w:t>
      </w:r>
      <w:r>
        <w:rPr>
          <w:rFonts w:hint="eastAsia" w:ascii="仿宋_GB2312" w:hAnsi="仿宋_GB2312" w:eastAsia="仿宋_GB2312" w:cs="仿宋_GB2312"/>
          <w:i w:val="0"/>
          <w:iCs w:val="0"/>
          <w:caps w:val="0"/>
          <w:color w:val="auto"/>
          <w:spacing w:val="8"/>
          <w:kern w:val="0"/>
          <w:sz w:val="32"/>
          <w:szCs w:val="32"/>
          <w:shd w:val="clear"/>
          <w:lang w:eastAsia="zh-CN"/>
        </w:rPr>
        <w:t>。</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黑体" w:hAnsi="黑体" w:eastAsia="黑体" w:cs="黑体"/>
          <w:b w:val="0"/>
          <w:bCs/>
          <w:color w:val="auto"/>
          <w:spacing w:val="8"/>
          <w:kern w:val="0"/>
          <w:sz w:val="32"/>
          <w:szCs w:val="32"/>
        </w:rPr>
      </w:pPr>
      <w:r>
        <w:rPr>
          <w:rFonts w:hint="eastAsia" w:ascii="黑体" w:hAnsi="黑体" w:eastAsia="黑体" w:cs="黑体"/>
          <w:b w:val="0"/>
          <w:bCs/>
          <w:color w:val="auto"/>
          <w:spacing w:val="8"/>
          <w:kern w:val="0"/>
          <w:sz w:val="32"/>
          <w:szCs w:val="32"/>
        </w:rPr>
        <w:t>二、草原火灾灾害分级标准</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一般草原火灾：受害草原面积10公顷以上1000公顷以下的，或者造成重伤1人以上3人以下的，或者直接经济损失5000元以上50万元以下的。</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较大草原火灾：受害草原面积1000公顷以上5000公顷以下的，或者造成死亡3人以下，或者造成重伤3人以上10人以下的，或者直接经济损失50万元以上300万元以下的。</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重大草原火灾：受害草原面积5000公顷以上8000公顷以下的，或者造成死亡3人以上10人以下，或造成死亡和重伤合计10人以上20人以下的，或者直接经济损失300万元以上500万元以下的。</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特别重大草原火灾：受害草原面积8000公顷以上的，或者造成死亡10人以上，或造成死亡和重伤合计20人以上的，或者直接经济损失500万元以上的。</w:t>
      </w:r>
    </w:p>
    <w:p>
      <w:pPr>
        <w:pageBreakBefore w:val="0"/>
        <w:widowControl w:val="0"/>
        <w:kinsoku/>
        <w:wordWrap/>
        <w:overflowPunct/>
        <w:topLinePunct w:val="0"/>
        <w:autoSpaceDE/>
        <w:autoSpaceDN/>
        <w:bidi w:val="0"/>
        <w:spacing w:line="360" w:lineRule="auto"/>
        <w:ind w:firstLine="672" w:firstLineChars="200"/>
        <w:textAlignment w:val="auto"/>
        <w:outlineLvl w:val="9"/>
        <w:rPr>
          <w:rFonts w:hint="eastAsia"/>
          <w:color w:val="auto"/>
        </w:rPr>
      </w:pPr>
      <w:r>
        <w:rPr>
          <w:rFonts w:hint="eastAsia" w:ascii="仿宋_GB2312" w:hAnsi="仿宋_GB2312" w:eastAsia="仿宋_GB2312" w:cs="仿宋_GB2312"/>
          <w:color w:val="auto"/>
          <w:spacing w:val="8"/>
          <w:kern w:val="0"/>
          <w:sz w:val="32"/>
          <w:szCs w:val="32"/>
          <w:lang w:eastAsia="zh-CN"/>
        </w:rPr>
        <w:t>注：</w:t>
      </w:r>
      <w:r>
        <w:rPr>
          <w:rFonts w:hint="eastAsia" w:ascii="仿宋_GB2312" w:hAnsi="仿宋_GB2312" w:eastAsia="仿宋_GB2312" w:cs="仿宋_GB2312"/>
          <w:i w:val="0"/>
          <w:iCs w:val="0"/>
          <w:caps w:val="0"/>
          <w:color w:val="auto"/>
          <w:spacing w:val="8"/>
          <w:kern w:val="0"/>
          <w:sz w:val="32"/>
          <w:szCs w:val="32"/>
          <w:shd w:val="clear"/>
        </w:rPr>
        <w:t>“以上”包括本数，“以下”不包括本数</w:t>
      </w:r>
      <w:r>
        <w:rPr>
          <w:rFonts w:hint="eastAsia" w:ascii="仿宋_GB2312" w:hAnsi="仿宋_GB2312" w:eastAsia="仿宋_GB2312" w:cs="仿宋_GB2312"/>
          <w:i w:val="0"/>
          <w:iCs w:val="0"/>
          <w:caps w:val="0"/>
          <w:color w:val="auto"/>
          <w:spacing w:val="8"/>
          <w:kern w:val="0"/>
          <w:sz w:val="32"/>
          <w:szCs w:val="32"/>
          <w:shd w:val="clear"/>
          <w:lang w:eastAsia="zh-CN"/>
        </w:rPr>
        <w:t>。</w:t>
      </w:r>
    </w:p>
    <w:p>
      <w:pPr>
        <w:pageBreakBefore w:val="0"/>
        <w:widowControl w:val="0"/>
        <w:kinsoku/>
        <w:wordWrap/>
        <w:overflowPunct/>
        <w:topLinePunct w:val="0"/>
        <w:autoSpaceDE/>
        <w:autoSpaceDN/>
        <w:bidi w:val="0"/>
        <w:textAlignment w:val="auto"/>
        <w:rPr>
          <w:rFonts w:hint="eastAsia"/>
          <w:color w:val="auto"/>
        </w:rPr>
        <w:sectPr>
          <w:pgSz w:w="11906" w:h="16838"/>
          <w:pgMar w:top="1304" w:right="1474" w:bottom="1304"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textAlignment w:val="auto"/>
        <w:outlineLvl w:val="1"/>
        <w:rPr>
          <w:rFonts w:hint="eastAsia" w:ascii="黑体" w:eastAsia="黑体"/>
          <w:bCs/>
          <w:color w:val="auto"/>
          <w:kern w:val="44"/>
          <w:sz w:val="32"/>
          <w:szCs w:val="44"/>
          <w:lang w:val="en-US" w:eastAsia="zh-CN"/>
        </w:rPr>
      </w:pPr>
      <w:bookmarkStart w:id="213" w:name="_Toc26237"/>
      <w:r>
        <w:rPr>
          <w:rFonts w:hint="eastAsia" w:ascii="黑体" w:eastAsia="黑体"/>
          <w:bCs/>
          <w:color w:val="auto"/>
          <w:kern w:val="44"/>
          <w:sz w:val="32"/>
          <w:szCs w:val="44"/>
          <w:lang w:val="en-US" w:eastAsia="zh-CN"/>
        </w:rPr>
        <w:t>附件4 新城区森林草原火险预警级别及信号颜色</w:t>
      </w:r>
      <w:bookmarkEnd w:id="213"/>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1789"/>
        <w:gridCol w:w="1789"/>
        <w:gridCol w:w="178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森林草原火险等级</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危险程度</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易燃程度</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蔓延程度</w:t>
            </w:r>
          </w:p>
        </w:tc>
        <w:tc>
          <w:tcPr>
            <w:tcW w:w="1686"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预警信号</w:t>
            </w:r>
          </w:p>
          <w:p>
            <w:pPr>
              <w:pageBreakBefore w:val="0"/>
              <w:widowControl w:val="0"/>
              <w:kinsoku/>
              <w:wordWrap/>
              <w:overflowPunct/>
              <w:topLinePunct w:val="0"/>
              <w:autoSpaceDE/>
              <w:autoSpaceDN/>
              <w:bidi w:val="0"/>
              <w:spacing w:line="360" w:lineRule="auto"/>
              <w:jc w:val="center"/>
              <w:textAlignment w:val="auto"/>
              <w:outlineLvl w:val="9"/>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一</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低度危险</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不易燃烧</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不易蔓延</w:t>
            </w:r>
          </w:p>
        </w:tc>
        <w:tc>
          <w:tcPr>
            <w:tcW w:w="1686"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二</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中度危险</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可以燃烧</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可以蔓延</w:t>
            </w:r>
          </w:p>
        </w:tc>
        <w:tc>
          <w:tcPr>
            <w:tcW w:w="1686"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三</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较高危险</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较易燃烧</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较易蔓延</w:t>
            </w:r>
          </w:p>
        </w:tc>
        <w:tc>
          <w:tcPr>
            <w:tcW w:w="1686"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四</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高度危险</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容易燃烧</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容易蔓延</w:t>
            </w:r>
          </w:p>
        </w:tc>
        <w:tc>
          <w:tcPr>
            <w:tcW w:w="1686"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橙色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五</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极度危险</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极易燃烧</w:t>
            </w:r>
          </w:p>
        </w:tc>
        <w:tc>
          <w:tcPr>
            <w:tcW w:w="1789"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极易蔓延</w:t>
            </w:r>
          </w:p>
        </w:tc>
        <w:tc>
          <w:tcPr>
            <w:tcW w:w="1686" w:type="dxa"/>
            <w:tcBorders>
              <w:tl2br w:val="nil"/>
              <w:tr2bl w:val="nil"/>
            </w:tcBorders>
            <w:shd w:val="clear" w:color="auto" w:fill="auto"/>
            <w:vAlign w:val="center"/>
          </w:tcPr>
          <w:p>
            <w:pPr>
              <w:pageBreakBefore w:val="0"/>
              <w:widowControl w:val="0"/>
              <w:kinsoku/>
              <w:wordWrap/>
              <w:overflowPunct/>
              <w:topLinePunct w:val="0"/>
              <w:autoSpaceDE/>
              <w:autoSpaceDN/>
              <w:bidi w:val="0"/>
              <w:spacing w:line="360" w:lineRule="auto"/>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红色</w:t>
            </w:r>
          </w:p>
        </w:tc>
      </w:tr>
    </w:tbl>
    <w:p>
      <w:pPr>
        <w:pageBreakBefore w:val="0"/>
        <w:widowControl w:val="0"/>
        <w:kinsoku/>
        <w:wordWrap/>
        <w:overflowPunct/>
        <w:topLinePunct w:val="0"/>
        <w:autoSpaceDE/>
        <w:autoSpaceDN/>
        <w:bidi w:val="0"/>
        <w:spacing w:line="360" w:lineRule="auto"/>
        <w:ind w:firstLine="140" w:firstLineChars="50"/>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注：一级森林草原火险等级不发布预警信号颜色。</w:t>
      </w:r>
    </w:p>
    <w:p>
      <w:pPr>
        <w:pageBreakBefore w:val="0"/>
        <w:widowControl w:val="0"/>
        <w:kinsoku/>
        <w:wordWrap/>
        <w:overflowPunct/>
        <w:topLinePunct w:val="0"/>
        <w:autoSpaceDE/>
        <w:autoSpaceDN/>
        <w:bidi w:val="0"/>
        <w:spacing w:line="360" w:lineRule="auto"/>
        <w:jc w:val="left"/>
        <w:textAlignment w:val="auto"/>
        <w:outlineLvl w:val="9"/>
        <w:rPr>
          <w:rFonts w:hint="eastAsia" w:ascii="仿宋" w:hAnsi="仿宋" w:eastAsia="仿宋" w:cs="仿宋"/>
          <w:b/>
          <w:bCs/>
          <w:color w:val="auto"/>
          <w:kern w:val="0"/>
          <w:sz w:val="28"/>
          <w:szCs w:val="28"/>
        </w:rPr>
        <w:sectPr>
          <w:pgSz w:w="11906" w:h="16838"/>
          <w:pgMar w:top="1304" w:right="1474" w:bottom="1304"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640" w:firstLineChars="200"/>
        <w:jc w:val="both"/>
        <w:textAlignment w:val="auto"/>
        <w:outlineLvl w:val="1"/>
        <w:rPr>
          <w:rFonts w:hint="eastAsia" w:ascii="黑体" w:eastAsia="黑体"/>
          <w:bCs/>
          <w:color w:val="auto"/>
          <w:kern w:val="44"/>
          <w:sz w:val="32"/>
          <w:szCs w:val="44"/>
          <w:lang w:val="en-US" w:eastAsia="zh-CN"/>
        </w:rPr>
      </w:pPr>
      <w:bookmarkStart w:id="214" w:name="_Toc27045"/>
      <w:r>
        <w:rPr>
          <w:rFonts w:hint="eastAsia" w:ascii="黑体" w:eastAsia="黑体"/>
          <w:bCs/>
          <w:color w:val="auto"/>
          <w:kern w:val="44"/>
          <w:sz w:val="32"/>
          <w:szCs w:val="44"/>
          <w:lang w:val="en-US" w:eastAsia="zh-CN"/>
        </w:rPr>
        <w:t>附件5 新城区森林草原专业和半专业队伍基本情况</w:t>
      </w:r>
      <w:bookmarkEnd w:id="214"/>
    </w:p>
    <w:p>
      <w:pPr>
        <w:keepNext w:val="0"/>
        <w:keepLines w:val="0"/>
        <w:pageBreakBefore w:val="0"/>
        <w:widowControl w:val="0"/>
        <w:kinsoku/>
        <w:wordWrap/>
        <w:overflowPunct/>
        <w:topLinePunct w:val="0"/>
        <w:autoSpaceDE/>
        <w:autoSpaceDN/>
        <w:bidi w:val="0"/>
        <w:snapToGrid/>
        <w:spacing w:line="360" w:lineRule="auto"/>
        <w:ind w:firstLine="675" w:firstLineChars="200"/>
        <w:jc w:val="both"/>
        <w:textAlignment w:val="auto"/>
        <w:outlineLvl w:val="9"/>
        <w:rPr>
          <w:rFonts w:hint="eastAsia" w:ascii="仿宋_GB2312" w:hAnsi="仿宋_GB2312" w:eastAsia="仿宋_GB2312" w:cs="仿宋_GB2312"/>
          <w:b/>
          <w:bCs/>
          <w:color w:val="auto"/>
          <w:spacing w:val="8"/>
          <w:kern w:val="0"/>
          <w:sz w:val="32"/>
          <w:szCs w:val="32"/>
        </w:rPr>
      </w:pPr>
      <w:r>
        <w:rPr>
          <w:rFonts w:hint="eastAsia" w:ascii="仿宋_GB2312" w:hAnsi="仿宋_GB2312" w:eastAsia="仿宋_GB2312" w:cs="仿宋_GB2312"/>
          <w:b/>
          <w:bCs/>
          <w:color w:val="auto"/>
          <w:spacing w:val="8"/>
          <w:kern w:val="0"/>
          <w:sz w:val="32"/>
          <w:szCs w:val="32"/>
          <w:lang w:val="en-US" w:eastAsia="zh-CN"/>
        </w:rPr>
        <w:t xml:space="preserve">1 </w:t>
      </w:r>
      <w:r>
        <w:rPr>
          <w:rFonts w:hint="eastAsia" w:ascii="仿宋_GB2312" w:hAnsi="仿宋_GB2312" w:eastAsia="仿宋_GB2312" w:cs="仿宋_GB2312"/>
          <w:b/>
          <w:bCs/>
          <w:color w:val="auto"/>
          <w:spacing w:val="8"/>
          <w:kern w:val="0"/>
          <w:sz w:val="32"/>
          <w:szCs w:val="32"/>
        </w:rPr>
        <w:t>专业救援队伍情况</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新城区现有专业救援队伍一支77人，隶属新城区应急管理局应急指挥中心，主要从事森林草原灭火和其他综合应急救援任务。</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672" w:firstLineChars="200"/>
        <w:jc w:val="both"/>
        <w:textAlignment w:val="auto"/>
        <w:rPr>
          <w:rFonts w:hint="default" w:ascii="仿宋_GB2312" w:hAnsi="仿宋_GB2312" w:eastAsia="仿宋_GB2312" w:cs="仿宋_GB2312"/>
          <w:b w:val="0"/>
          <w:bCs w:val="0"/>
          <w:color w:val="auto"/>
          <w:spacing w:val="8"/>
          <w:kern w:val="0"/>
          <w:sz w:val="32"/>
          <w:szCs w:val="32"/>
          <w:lang w:val="en-US" w:eastAsia="zh-CN" w:bidi="ar-SA"/>
        </w:rPr>
      </w:pPr>
      <w:bookmarkStart w:id="215" w:name="_Toc21408"/>
      <w:bookmarkStart w:id="216" w:name="_Toc11692"/>
      <w:bookmarkStart w:id="217" w:name="_Toc2029"/>
      <w:bookmarkStart w:id="218" w:name="_Toc27988"/>
      <w:bookmarkStart w:id="219" w:name="_Toc6039"/>
      <w:bookmarkStart w:id="220" w:name="_Toc16337"/>
      <w:r>
        <w:rPr>
          <w:rFonts w:hint="eastAsia" w:ascii="仿宋_GB2312" w:hAnsi="仿宋_GB2312" w:eastAsia="仿宋_GB2312" w:cs="仿宋_GB2312"/>
          <w:b w:val="0"/>
          <w:bCs w:val="0"/>
          <w:color w:val="auto"/>
          <w:spacing w:val="8"/>
          <w:kern w:val="0"/>
          <w:sz w:val="32"/>
          <w:szCs w:val="32"/>
          <w:lang w:val="en-US" w:eastAsia="zh-CN" w:bidi="ar-SA"/>
        </w:rPr>
        <w:t xml:space="preserve">负责人：李燕兵            </w:t>
      </w:r>
      <w:bookmarkEnd w:id="215"/>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snapToGrid/>
        <w:spacing w:line="360" w:lineRule="auto"/>
        <w:ind w:firstLine="675" w:firstLineChars="200"/>
        <w:jc w:val="both"/>
        <w:textAlignment w:val="auto"/>
        <w:outlineLvl w:val="9"/>
        <w:rPr>
          <w:rFonts w:hint="eastAsia" w:ascii="仿宋_GB2312" w:hAnsi="仿宋_GB2312" w:eastAsia="仿宋_GB2312" w:cs="仿宋_GB2312"/>
          <w:b/>
          <w:bCs/>
          <w:color w:val="auto"/>
          <w:spacing w:val="8"/>
          <w:kern w:val="0"/>
          <w:sz w:val="32"/>
          <w:szCs w:val="32"/>
        </w:rPr>
      </w:pPr>
      <w:r>
        <w:rPr>
          <w:rFonts w:hint="eastAsia" w:ascii="仿宋_GB2312" w:hAnsi="仿宋_GB2312" w:eastAsia="仿宋_GB2312" w:cs="仿宋_GB2312"/>
          <w:b/>
          <w:bCs/>
          <w:color w:val="auto"/>
          <w:spacing w:val="8"/>
          <w:kern w:val="0"/>
          <w:sz w:val="32"/>
          <w:szCs w:val="32"/>
          <w:lang w:val="en-US" w:eastAsia="zh-CN"/>
        </w:rPr>
        <w:t xml:space="preserve">2 </w:t>
      </w:r>
      <w:r>
        <w:rPr>
          <w:rFonts w:hint="eastAsia" w:ascii="仿宋_GB2312" w:hAnsi="仿宋_GB2312" w:eastAsia="仿宋_GB2312" w:cs="仿宋_GB2312"/>
          <w:b/>
          <w:bCs/>
          <w:color w:val="auto"/>
          <w:spacing w:val="8"/>
          <w:kern w:val="0"/>
          <w:sz w:val="32"/>
          <w:szCs w:val="32"/>
        </w:rPr>
        <w:t>半专业队伍情况</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半专业救援队伍主要依托保合少镇、成吉思汗大街街道办事处组建，当前保合少镇半专业队伍155人，成吉思汗大街街道办事处半专业队伍66人。</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672" w:firstLineChars="200"/>
        <w:jc w:val="both"/>
        <w:textAlignment w:val="auto"/>
        <w:rPr>
          <w:rFonts w:hint="eastAsia" w:ascii="仿宋_GB2312" w:hAnsi="仿宋_GB2312" w:eastAsia="仿宋_GB2312" w:cs="仿宋_GB2312"/>
          <w:b w:val="0"/>
          <w:bCs w:val="0"/>
          <w:color w:val="auto"/>
          <w:spacing w:val="8"/>
          <w:kern w:val="0"/>
          <w:sz w:val="32"/>
          <w:szCs w:val="32"/>
          <w:lang w:val="en-US" w:eastAsia="zh-CN" w:bidi="ar-SA"/>
        </w:rPr>
      </w:pPr>
      <w:bookmarkStart w:id="221" w:name="_Toc15375"/>
      <w:bookmarkStart w:id="222" w:name="_Toc13519"/>
      <w:bookmarkStart w:id="223" w:name="_Toc25058"/>
      <w:bookmarkStart w:id="224" w:name="_Toc23235"/>
      <w:bookmarkStart w:id="225" w:name="_Toc20780"/>
      <w:bookmarkStart w:id="226" w:name="_Toc21650"/>
      <w:r>
        <w:rPr>
          <w:rFonts w:hint="eastAsia" w:ascii="仿宋_GB2312" w:hAnsi="仿宋_GB2312" w:eastAsia="仿宋_GB2312" w:cs="仿宋_GB2312"/>
          <w:b w:val="0"/>
          <w:bCs w:val="0"/>
          <w:color w:val="auto"/>
          <w:spacing w:val="8"/>
          <w:kern w:val="0"/>
          <w:sz w:val="32"/>
          <w:szCs w:val="32"/>
          <w:lang w:val="en-US" w:eastAsia="zh-CN" w:bidi="ar-SA"/>
        </w:rPr>
        <w:t>保合少镇</w:t>
      </w:r>
      <w:r>
        <w:rPr>
          <w:rFonts w:hint="eastAsia" w:ascii="仿宋_GB2312" w:hAnsi="仿宋_GB2312" w:eastAsia="仿宋_GB2312" w:cs="仿宋_GB2312"/>
          <w:b w:val="0"/>
          <w:bCs w:val="0"/>
          <w:color w:val="auto"/>
          <w:spacing w:val="8"/>
          <w:kern w:val="0"/>
          <w:sz w:val="32"/>
          <w:szCs w:val="32"/>
        </w:rPr>
        <w:t>半专业队伍</w:t>
      </w:r>
      <w:r>
        <w:rPr>
          <w:rFonts w:hint="eastAsia" w:ascii="仿宋_GB2312" w:hAnsi="仿宋_GB2312" w:eastAsia="仿宋_GB2312" w:cs="仿宋_GB2312"/>
          <w:b w:val="0"/>
          <w:bCs w:val="0"/>
          <w:color w:val="auto"/>
          <w:spacing w:val="8"/>
          <w:kern w:val="0"/>
          <w:sz w:val="32"/>
          <w:szCs w:val="32"/>
          <w:lang w:val="en-US" w:eastAsia="zh-CN" w:bidi="ar-SA"/>
        </w:rPr>
        <w:t>负责人：</w:t>
      </w:r>
      <w:bookmarkEnd w:id="221"/>
      <w:bookmarkEnd w:id="222"/>
      <w:bookmarkEnd w:id="223"/>
      <w:bookmarkStart w:id="227" w:name="_Toc7969"/>
      <w:bookmarkStart w:id="228" w:name="_Toc25383"/>
      <w:bookmarkStart w:id="229" w:name="_Toc2452"/>
      <w:r>
        <w:rPr>
          <w:rFonts w:hint="eastAsia" w:ascii="仿宋_GB2312" w:hAnsi="仿宋_GB2312" w:eastAsia="仿宋_GB2312" w:cs="仿宋_GB2312"/>
          <w:b w:val="0"/>
          <w:bCs w:val="0"/>
          <w:color w:val="auto"/>
          <w:spacing w:val="8"/>
          <w:kern w:val="0"/>
          <w:sz w:val="32"/>
          <w:szCs w:val="32"/>
          <w:lang w:val="en-US" w:eastAsia="zh-CN" w:bidi="ar-SA"/>
        </w:rPr>
        <w:t>邸海龙</w:t>
      </w:r>
      <w:bookmarkEnd w:id="224"/>
      <w:bookmarkEnd w:id="225"/>
      <w:bookmarkEnd w:id="226"/>
    </w:p>
    <w:bookmarkEnd w:id="227"/>
    <w:bookmarkEnd w:id="228"/>
    <w:bookmarkEnd w:id="229"/>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_GB2312" w:hAnsi="仿宋_GB2312" w:eastAsia="仿宋_GB2312" w:cs="仿宋_GB2312"/>
          <w:b w:val="0"/>
          <w:bCs w:val="0"/>
          <w:color w:val="auto"/>
          <w:spacing w:val="8"/>
          <w:kern w:val="0"/>
          <w:sz w:val="32"/>
          <w:szCs w:val="32"/>
          <w:lang w:val="en-US" w:eastAsia="zh-CN" w:bidi="ar-SA"/>
        </w:rPr>
      </w:pPr>
      <w:r>
        <w:rPr>
          <w:rFonts w:hint="eastAsia" w:ascii="仿宋_GB2312" w:hAnsi="仿宋_GB2312" w:eastAsia="仿宋_GB2312" w:cs="仿宋_GB2312"/>
          <w:b w:val="0"/>
          <w:bCs w:val="0"/>
          <w:color w:val="auto"/>
          <w:spacing w:val="8"/>
          <w:kern w:val="0"/>
          <w:sz w:val="32"/>
          <w:szCs w:val="32"/>
          <w:lang w:val="en-US" w:eastAsia="zh-CN" w:bidi="ar-SA"/>
        </w:rPr>
        <w:t>成吉思汗大街街道办事处</w:t>
      </w:r>
      <w:r>
        <w:rPr>
          <w:rFonts w:hint="eastAsia" w:ascii="仿宋_GB2312" w:hAnsi="仿宋_GB2312" w:eastAsia="仿宋_GB2312" w:cs="仿宋_GB2312"/>
          <w:color w:val="auto"/>
          <w:spacing w:val="8"/>
          <w:kern w:val="0"/>
          <w:sz w:val="32"/>
          <w:szCs w:val="32"/>
        </w:rPr>
        <w:t>半专业队伍</w:t>
      </w:r>
      <w:r>
        <w:rPr>
          <w:rFonts w:hint="eastAsia" w:ascii="仿宋_GB2312" w:hAnsi="仿宋_GB2312" w:eastAsia="仿宋_GB2312" w:cs="仿宋_GB2312"/>
          <w:b w:val="0"/>
          <w:bCs w:val="0"/>
          <w:color w:val="auto"/>
          <w:spacing w:val="8"/>
          <w:kern w:val="0"/>
          <w:sz w:val="32"/>
          <w:szCs w:val="32"/>
          <w:lang w:val="en-US" w:eastAsia="zh-CN" w:bidi="ar-SA"/>
        </w:rPr>
        <w:t>负责人：王雪冰</w:t>
      </w:r>
    </w:p>
    <w:p>
      <w:pPr>
        <w:keepNext w:val="0"/>
        <w:keepLines w:val="0"/>
        <w:pageBreakBefore w:val="0"/>
        <w:widowControl w:val="0"/>
        <w:kinsoku/>
        <w:wordWrap/>
        <w:overflowPunct/>
        <w:topLinePunct w:val="0"/>
        <w:autoSpaceDE/>
        <w:autoSpaceDN/>
        <w:bidi w:val="0"/>
        <w:snapToGrid/>
        <w:spacing w:line="360" w:lineRule="auto"/>
        <w:ind w:firstLine="675" w:firstLineChars="200"/>
        <w:jc w:val="both"/>
        <w:textAlignment w:val="auto"/>
        <w:outlineLvl w:val="9"/>
        <w:rPr>
          <w:rFonts w:hint="eastAsia" w:ascii="仿宋_GB2312" w:hAnsi="仿宋_GB2312" w:eastAsia="仿宋_GB2312" w:cs="仿宋_GB2312"/>
          <w:b/>
          <w:bCs/>
          <w:color w:val="auto"/>
          <w:spacing w:val="8"/>
          <w:kern w:val="0"/>
          <w:sz w:val="32"/>
          <w:szCs w:val="32"/>
        </w:rPr>
      </w:pPr>
      <w:r>
        <w:rPr>
          <w:rFonts w:hint="eastAsia" w:ascii="仿宋_GB2312" w:hAnsi="仿宋_GB2312" w:eastAsia="仿宋_GB2312" w:cs="仿宋_GB2312"/>
          <w:b/>
          <w:bCs/>
          <w:color w:val="auto"/>
          <w:spacing w:val="8"/>
          <w:kern w:val="0"/>
          <w:sz w:val="32"/>
          <w:szCs w:val="32"/>
          <w:lang w:val="en-US" w:eastAsia="zh-CN"/>
        </w:rPr>
        <w:t xml:space="preserve">3 </w:t>
      </w:r>
      <w:r>
        <w:rPr>
          <w:rFonts w:hint="eastAsia" w:ascii="仿宋_GB2312" w:hAnsi="仿宋_GB2312" w:eastAsia="仿宋_GB2312" w:cs="仿宋_GB2312"/>
          <w:b/>
          <w:bCs/>
          <w:color w:val="auto"/>
          <w:spacing w:val="8"/>
          <w:kern w:val="0"/>
          <w:sz w:val="32"/>
          <w:szCs w:val="32"/>
        </w:rPr>
        <w:t>林草部门队伍情况</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内蒙古大青山自然保护区管理局呼和浩特分局古路板管理站现有管护人员127名。</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672" w:firstLineChars="200"/>
        <w:jc w:val="both"/>
        <w:textAlignment w:val="auto"/>
        <w:rPr>
          <w:rFonts w:hint="eastAsia" w:ascii="仿宋_GB2312" w:hAnsi="仿宋_GB2312" w:eastAsia="仿宋_GB2312" w:cs="仿宋_GB2312"/>
          <w:b w:val="0"/>
          <w:bCs w:val="0"/>
          <w:color w:val="auto"/>
          <w:spacing w:val="8"/>
          <w:kern w:val="0"/>
          <w:sz w:val="32"/>
          <w:szCs w:val="32"/>
          <w:lang w:val="en-US" w:eastAsia="zh-CN" w:bidi="ar-SA"/>
        </w:rPr>
      </w:pPr>
      <w:bookmarkStart w:id="230" w:name="_Toc15759"/>
      <w:bookmarkStart w:id="231" w:name="_Toc14600"/>
      <w:bookmarkStart w:id="232" w:name="_Toc27947"/>
      <w:bookmarkStart w:id="233" w:name="_Toc6487"/>
      <w:bookmarkStart w:id="234" w:name="_Toc9532"/>
      <w:bookmarkStart w:id="235" w:name="_Toc2212"/>
      <w:r>
        <w:rPr>
          <w:rFonts w:hint="eastAsia" w:ascii="仿宋_GB2312" w:hAnsi="仿宋_GB2312" w:eastAsia="仿宋_GB2312" w:cs="仿宋_GB2312"/>
          <w:b w:val="0"/>
          <w:bCs w:val="0"/>
          <w:color w:val="auto"/>
          <w:spacing w:val="8"/>
          <w:kern w:val="0"/>
          <w:sz w:val="32"/>
          <w:szCs w:val="32"/>
          <w:lang w:val="en-US" w:eastAsia="zh-CN" w:bidi="ar-SA"/>
        </w:rPr>
        <w:t xml:space="preserve">负责人：闫建兵             </w:t>
      </w:r>
      <w:bookmarkEnd w:id="230"/>
      <w:bookmarkEnd w:id="231"/>
      <w:bookmarkEnd w:id="232"/>
      <w:bookmarkEnd w:id="233"/>
      <w:bookmarkEnd w:id="234"/>
      <w:bookmarkEnd w:id="235"/>
    </w:p>
    <w:p>
      <w:pPr>
        <w:keepNext w:val="0"/>
        <w:keepLines w:val="0"/>
        <w:pageBreakBefore w:val="0"/>
        <w:widowControl w:val="0"/>
        <w:kinsoku/>
        <w:wordWrap/>
        <w:overflowPunct/>
        <w:topLinePunct w:val="0"/>
        <w:autoSpaceDE/>
        <w:autoSpaceDN/>
        <w:bidi w:val="0"/>
        <w:snapToGrid/>
        <w:spacing w:line="360" w:lineRule="auto"/>
        <w:ind w:firstLine="675" w:firstLineChars="200"/>
        <w:jc w:val="both"/>
        <w:textAlignment w:val="auto"/>
        <w:outlineLvl w:val="9"/>
        <w:rPr>
          <w:rFonts w:hint="eastAsia" w:ascii="仿宋_GB2312" w:hAnsi="仿宋_GB2312" w:eastAsia="仿宋_GB2312" w:cs="仿宋_GB2312"/>
          <w:b/>
          <w:bCs/>
          <w:color w:val="auto"/>
          <w:spacing w:val="8"/>
          <w:kern w:val="0"/>
          <w:sz w:val="32"/>
          <w:szCs w:val="32"/>
        </w:rPr>
      </w:pPr>
      <w:r>
        <w:rPr>
          <w:rFonts w:hint="eastAsia" w:ascii="仿宋_GB2312" w:hAnsi="仿宋_GB2312" w:eastAsia="仿宋_GB2312" w:cs="仿宋_GB2312"/>
          <w:b/>
          <w:bCs/>
          <w:color w:val="auto"/>
          <w:spacing w:val="8"/>
          <w:kern w:val="0"/>
          <w:sz w:val="32"/>
          <w:szCs w:val="32"/>
          <w:lang w:val="en-US" w:eastAsia="zh-CN"/>
        </w:rPr>
        <w:t xml:space="preserve">4 </w:t>
      </w:r>
      <w:r>
        <w:rPr>
          <w:rFonts w:hint="eastAsia" w:ascii="仿宋_GB2312" w:hAnsi="仿宋_GB2312" w:eastAsia="仿宋_GB2312" w:cs="仿宋_GB2312"/>
          <w:b/>
          <w:bCs/>
          <w:color w:val="auto"/>
          <w:spacing w:val="8"/>
          <w:kern w:val="0"/>
          <w:sz w:val="32"/>
          <w:szCs w:val="32"/>
        </w:rPr>
        <w:t>森林消防队伍情况</w:t>
      </w:r>
    </w:p>
    <w:p>
      <w:pPr>
        <w:keepNext w:val="0"/>
        <w:keepLines w:val="0"/>
        <w:pageBreakBefore w:val="0"/>
        <w:widowControl w:val="0"/>
        <w:kinsoku/>
        <w:wordWrap/>
        <w:overflowPunct/>
        <w:topLinePunct w:val="0"/>
        <w:autoSpaceDE/>
        <w:autoSpaceDN/>
        <w:bidi w:val="0"/>
        <w:snapToGrid/>
        <w:spacing w:line="360" w:lineRule="auto"/>
        <w:ind w:firstLine="672" w:firstLineChars="200"/>
        <w:jc w:val="both"/>
        <w:textAlignment w:val="auto"/>
        <w:outlineLvl w:val="9"/>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在重要防火期和防火节点，内蒙古森林消防总队呼和浩 特市特勤大队将派驻专业队伍开展靠前驻防。</w:t>
      </w:r>
    </w:p>
    <w:p>
      <w:pPr>
        <w:keepNext w:val="0"/>
        <w:keepLines w:val="0"/>
        <w:pageBreakBefore w:val="0"/>
        <w:widowControl w:val="0"/>
        <w:kinsoku/>
        <w:wordWrap/>
        <w:overflowPunct/>
        <w:topLinePunct w:val="0"/>
        <w:autoSpaceDE/>
        <w:autoSpaceDN/>
        <w:bidi w:val="0"/>
        <w:adjustRightInd/>
        <w:snapToGrid/>
        <w:spacing w:after="313" w:afterLines="100" w:line="360" w:lineRule="auto"/>
        <w:jc w:val="both"/>
        <w:textAlignment w:val="auto"/>
        <w:outlineLvl w:val="1"/>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rPr>
        <w:t xml:space="preserve">负责人：倪晨  </w:t>
      </w:r>
      <w:r>
        <w:rPr>
          <w:rFonts w:hint="eastAsia" w:ascii="仿宋_GB2312" w:hAnsi="仿宋_GB2312" w:eastAsia="仿宋_GB2312" w:cs="仿宋_GB2312"/>
          <w:color w:val="auto"/>
          <w:spacing w:val="8"/>
          <w:kern w:val="0"/>
          <w:sz w:val="32"/>
          <w:szCs w:val="32"/>
          <w:lang w:val="en-US" w:eastAsia="zh-CN"/>
        </w:rPr>
        <w:t xml:space="preserve">         </w:t>
      </w:r>
      <w:bookmarkStart w:id="236" w:name="_Toc22973"/>
    </w:p>
    <w:p>
      <w:pPr>
        <w:keepNext w:val="0"/>
        <w:keepLines w:val="0"/>
        <w:pageBreakBefore w:val="0"/>
        <w:widowControl w:val="0"/>
        <w:kinsoku/>
        <w:wordWrap/>
        <w:overflowPunct/>
        <w:topLinePunct w:val="0"/>
        <w:autoSpaceDE/>
        <w:autoSpaceDN/>
        <w:bidi w:val="0"/>
        <w:adjustRightInd/>
        <w:snapToGrid/>
        <w:spacing w:after="313" w:afterLines="100" w:line="360" w:lineRule="auto"/>
        <w:jc w:val="both"/>
        <w:textAlignment w:val="auto"/>
        <w:outlineLvl w:val="1"/>
        <w:rPr>
          <w:rFonts w:hint="eastAsia" w:ascii="黑体" w:eastAsia="黑体"/>
          <w:bCs/>
          <w:color w:val="auto"/>
          <w:kern w:val="44"/>
          <w:sz w:val="32"/>
          <w:szCs w:val="44"/>
          <w:lang w:val="en-US" w:eastAsia="zh-CN"/>
        </w:rPr>
      </w:pPr>
      <w:r>
        <w:rPr>
          <w:rFonts w:hint="eastAsia" w:ascii="黑体" w:eastAsia="黑体"/>
          <w:bCs/>
          <w:color w:val="auto"/>
          <w:kern w:val="44"/>
          <w:sz w:val="32"/>
          <w:szCs w:val="44"/>
          <w:lang w:val="en-US" w:eastAsia="zh-CN"/>
        </w:rPr>
        <w:t>附件6 新城区森林草原防扑火队伍应急装备清单</w:t>
      </w:r>
      <w:bookmarkEnd w:id="236"/>
    </w:p>
    <w:p>
      <w:pPr>
        <w:bidi w:val="0"/>
        <w:jc w:val="center"/>
        <w:rPr>
          <w:rFonts w:hint="eastAsia" w:ascii="黑体" w:hAnsi="黑体" w:eastAsia="黑体" w:cs="黑体"/>
          <w:color w:val="auto"/>
          <w:sz w:val="32"/>
          <w:szCs w:val="32"/>
        </w:rPr>
      </w:pPr>
      <w:r>
        <w:rPr>
          <w:rFonts w:hint="eastAsia" w:ascii="黑体" w:hAnsi="黑体" w:eastAsia="黑体" w:cs="黑体"/>
          <w:color w:val="auto"/>
          <w:sz w:val="32"/>
          <w:szCs w:val="32"/>
        </w:rPr>
        <w:t>新城区应急指挥中心车辆清单</w:t>
      </w:r>
    </w:p>
    <w:p>
      <w:pPr>
        <w:spacing w:line="67" w:lineRule="exact"/>
        <w:rPr>
          <w:color w:val="auto"/>
        </w:rPr>
      </w:pPr>
    </w:p>
    <w:tbl>
      <w:tblPr>
        <w:tblStyle w:val="25"/>
        <w:tblW w:w="8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0"/>
        <w:gridCol w:w="2982"/>
        <w:gridCol w:w="809"/>
        <w:gridCol w:w="918"/>
        <w:gridCol w:w="28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780" w:type="dxa"/>
            <w:vAlign w:val="top"/>
          </w:tcPr>
          <w:p>
            <w:pPr>
              <w:spacing w:before="252" w:line="229" w:lineRule="auto"/>
              <w:ind w:left="193"/>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序</w:t>
            </w:r>
            <w:r>
              <w:rPr>
                <w:rFonts w:hint="eastAsia" w:ascii="仿宋_GB2312" w:hAnsi="仿宋_GB2312" w:eastAsia="仿宋_GB2312" w:cs="仿宋_GB2312"/>
                <w:b/>
                <w:bCs/>
                <w:color w:val="auto"/>
                <w:spacing w:val="5"/>
                <w:sz w:val="24"/>
                <w:szCs w:val="24"/>
              </w:rPr>
              <w:t>号</w:t>
            </w:r>
          </w:p>
        </w:tc>
        <w:tc>
          <w:tcPr>
            <w:tcW w:w="2982" w:type="dxa"/>
            <w:vAlign w:val="top"/>
          </w:tcPr>
          <w:p>
            <w:pPr>
              <w:spacing w:before="253" w:line="227" w:lineRule="auto"/>
              <w:ind w:left="88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7"/>
                <w:sz w:val="24"/>
                <w:szCs w:val="24"/>
              </w:rPr>
              <w:t>车辆名称</w:t>
            </w:r>
          </w:p>
        </w:tc>
        <w:tc>
          <w:tcPr>
            <w:tcW w:w="809" w:type="dxa"/>
            <w:vAlign w:val="top"/>
          </w:tcPr>
          <w:p>
            <w:pPr>
              <w:spacing w:before="253" w:line="227" w:lineRule="auto"/>
              <w:ind w:left="186"/>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4"/>
                <w:sz w:val="24"/>
                <w:szCs w:val="24"/>
              </w:rPr>
              <w:t>数量</w:t>
            </w:r>
          </w:p>
        </w:tc>
        <w:tc>
          <w:tcPr>
            <w:tcW w:w="918" w:type="dxa"/>
            <w:vAlign w:val="top"/>
          </w:tcPr>
          <w:p>
            <w:pPr>
              <w:spacing w:before="252" w:line="228" w:lineRule="auto"/>
              <w:ind w:left="194"/>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4"/>
                <w:sz w:val="24"/>
                <w:szCs w:val="24"/>
              </w:rPr>
              <w:t>单位</w:t>
            </w:r>
          </w:p>
        </w:tc>
        <w:tc>
          <w:tcPr>
            <w:tcW w:w="2853" w:type="dxa"/>
            <w:vAlign w:val="top"/>
          </w:tcPr>
          <w:p>
            <w:pPr>
              <w:spacing w:before="252" w:line="229" w:lineRule="auto"/>
              <w:ind w:left="1314"/>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4"/>
                <w:sz w:val="24"/>
                <w:szCs w:val="24"/>
              </w:rPr>
              <w:t>备</w:t>
            </w:r>
            <w:r>
              <w:rPr>
                <w:rFonts w:hint="eastAsia" w:ascii="仿宋_GB2312" w:hAnsi="仿宋_GB2312" w:eastAsia="仿宋_GB2312" w:cs="仿宋_GB2312"/>
                <w:b/>
                <w:bCs/>
                <w:color w:val="auto"/>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780" w:type="dxa"/>
            <w:vAlign w:val="top"/>
          </w:tcPr>
          <w:p>
            <w:pPr>
              <w:spacing w:before="288" w:line="192" w:lineRule="auto"/>
              <w:ind w:left="39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82" w:type="dxa"/>
            <w:vAlign w:val="top"/>
          </w:tcPr>
          <w:p>
            <w:pPr>
              <w:spacing w:before="250" w:line="227" w:lineRule="auto"/>
              <w:ind w:left="1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依维柯运兵车(20</w:t>
            </w:r>
            <w:r>
              <w:rPr>
                <w:rFonts w:hint="eastAsia" w:ascii="仿宋_GB2312" w:hAnsi="仿宋_GB2312" w:eastAsia="仿宋_GB2312" w:cs="仿宋_GB2312"/>
                <w:color w:val="auto"/>
                <w:spacing w:val="1"/>
                <w:sz w:val="24"/>
                <w:szCs w:val="24"/>
              </w:rPr>
              <w:t>座</w:t>
            </w:r>
            <w:r>
              <w:rPr>
                <w:rFonts w:hint="eastAsia" w:ascii="仿宋_GB2312" w:hAnsi="仿宋_GB2312" w:eastAsia="仿宋_GB2312" w:cs="仿宋_GB2312"/>
                <w:color w:val="auto"/>
                <w:sz w:val="24"/>
                <w:szCs w:val="24"/>
              </w:rPr>
              <w:t>)</w:t>
            </w:r>
          </w:p>
        </w:tc>
        <w:tc>
          <w:tcPr>
            <w:tcW w:w="809" w:type="dxa"/>
            <w:vAlign w:val="top"/>
          </w:tcPr>
          <w:p>
            <w:pPr>
              <w:spacing w:before="288" w:line="192" w:lineRule="auto"/>
              <w:ind w:left="3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18" w:type="dxa"/>
            <w:vAlign w:val="top"/>
          </w:tcPr>
          <w:p>
            <w:pPr>
              <w:spacing w:before="250" w:line="230" w:lineRule="auto"/>
              <w:ind w:left="3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53" w:type="dxa"/>
            <w:vAlign w:val="top"/>
          </w:tcPr>
          <w:p>
            <w:pPr>
              <w:spacing w:before="250" w:line="228" w:lineRule="auto"/>
              <w:ind w:left="99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自</w:t>
            </w:r>
            <w:r>
              <w:rPr>
                <w:rFonts w:hint="eastAsia" w:ascii="仿宋_GB2312" w:hAnsi="仿宋_GB2312" w:eastAsia="仿宋_GB2312" w:cs="仿宋_GB2312"/>
                <w:color w:val="auto"/>
                <w:sz w:val="24"/>
                <w:szCs w:val="24"/>
              </w:rPr>
              <w:t>治区匹配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80" w:type="dxa"/>
            <w:vAlign w:val="top"/>
          </w:tcPr>
          <w:p>
            <w:pPr>
              <w:spacing w:before="287" w:line="192" w:lineRule="auto"/>
              <w:ind w:left="37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82" w:type="dxa"/>
            <w:vAlign w:val="top"/>
          </w:tcPr>
          <w:p>
            <w:pPr>
              <w:spacing w:before="250" w:line="227" w:lineRule="auto"/>
              <w:ind w:left="3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勇士</w:t>
            </w:r>
            <w:r>
              <w:rPr>
                <w:rFonts w:hint="eastAsia" w:ascii="仿宋_GB2312" w:hAnsi="仿宋_GB2312" w:eastAsia="仿宋_GB2312" w:cs="仿宋_GB2312"/>
                <w:color w:val="auto"/>
                <w:sz w:val="24"/>
                <w:szCs w:val="24"/>
              </w:rPr>
              <w:t>运兵车(8座)</w:t>
            </w:r>
          </w:p>
        </w:tc>
        <w:tc>
          <w:tcPr>
            <w:tcW w:w="809" w:type="dxa"/>
            <w:vAlign w:val="top"/>
          </w:tcPr>
          <w:p>
            <w:pPr>
              <w:spacing w:before="287" w:line="192" w:lineRule="auto"/>
              <w:ind w:left="36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18" w:type="dxa"/>
            <w:vAlign w:val="top"/>
          </w:tcPr>
          <w:p>
            <w:pPr>
              <w:spacing w:before="249" w:line="230" w:lineRule="auto"/>
              <w:ind w:left="3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53" w:type="dxa"/>
            <w:vAlign w:val="top"/>
          </w:tcPr>
          <w:p>
            <w:pPr>
              <w:spacing w:before="250" w:line="228" w:lineRule="auto"/>
              <w:ind w:left="39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自</w:t>
            </w:r>
            <w:r>
              <w:rPr>
                <w:rFonts w:hint="eastAsia" w:ascii="仿宋_GB2312" w:hAnsi="仿宋_GB2312" w:eastAsia="仿宋_GB2312" w:cs="仿宋_GB2312"/>
                <w:color w:val="auto"/>
                <w:spacing w:val="5"/>
                <w:sz w:val="24"/>
                <w:szCs w:val="24"/>
              </w:rPr>
              <w:t>治区、市防汛办匹配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80" w:type="dxa"/>
            <w:vAlign w:val="top"/>
          </w:tcPr>
          <w:p>
            <w:pPr>
              <w:spacing w:before="288" w:line="190" w:lineRule="auto"/>
              <w:ind w:left="37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982" w:type="dxa"/>
            <w:vAlign w:val="top"/>
          </w:tcPr>
          <w:p>
            <w:pPr>
              <w:spacing w:before="250" w:line="228" w:lineRule="auto"/>
              <w:ind w:left="6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上汽大通皮卡</w:t>
            </w:r>
          </w:p>
        </w:tc>
        <w:tc>
          <w:tcPr>
            <w:tcW w:w="809" w:type="dxa"/>
            <w:vAlign w:val="top"/>
          </w:tcPr>
          <w:p>
            <w:pPr>
              <w:spacing w:before="287" w:line="192" w:lineRule="auto"/>
              <w:ind w:left="3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18" w:type="dxa"/>
            <w:vAlign w:val="top"/>
          </w:tcPr>
          <w:p>
            <w:pPr>
              <w:spacing w:before="249" w:line="230" w:lineRule="auto"/>
              <w:ind w:left="3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53" w:type="dxa"/>
            <w:vAlign w:val="top"/>
          </w:tcPr>
          <w:p>
            <w:pPr>
              <w:spacing w:before="250" w:line="228" w:lineRule="auto"/>
              <w:ind w:left="99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自</w:t>
            </w:r>
            <w:r>
              <w:rPr>
                <w:rFonts w:hint="eastAsia" w:ascii="仿宋_GB2312" w:hAnsi="仿宋_GB2312" w:eastAsia="仿宋_GB2312" w:cs="仿宋_GB2312"/>
                <w:color w:val="auto"/>
                <w:sz w:val="24"/>
                <w:szCs w:val="24"/>
              </w:rPr>
              <w:t>治区匹配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80" w:type="dxa"/>
            <w:vAlign w:val="top"/>
          </w:tcPr>
          <w:p>
            <w:pPr>
              <w:spacing w:before="288" w:line="192" w:lineRule="auto"/>
              <w:ind w:left="37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82" w:type="dxa"/>
            <w:vAlign w:val="top"/>
          </w:tcPr>
          <w:p>
            <w:pPr>
              <w:spacing w:before="251" w:line="227" w:lineRule="auto"/>
              <w:ind w:left="55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水罐车</w:t>
            </w:r>
            <w:r>
              <w:rPr>
                <w:rFonts w:hint="eastAsia" w:ascii="仿宋_GB2312" w:hAnsi="仿宋_GB2312" w:eastAsia="仿宋_GB2312" w:cs="仿宋_GB2312"/>
                <w:color w:val="auto"/>
                <w:spacing w:val="-1"/>
                <w:sz w:val="24"/>
                <w:szCs w:val="24"/>
              </w:rPr>
              <w:t>(5吨)</w:t>
            </w:r>
          </w:p>
        </w:tc>
        <w:tc>
          <w:tcPr>
            <w:tcW w:w="809" w:type="dxa"/>
            <w:vAlign w:val="top"/>
          </w:tcPr>
          <w:p>
            <w:pPr>
              <w:spacing w:before="288" w:line="192" w:lineRule="auto"/>
              <w:ind w:left="36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18" w:type="dxa"/>
            <w:vAlign w:val="top"/>
          </w:tcPr>
          <w:p>
            <w:pPr>
              <w:spacing w:before="250" w:line="230" w:lineRule="auto"/>
              <w:ind w:left="3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53"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80" w:type="dxa"/>
            <w:vAlign w:val="top"/>
          </w:tcPr>
          <w:p>
            <w:pPr>
              <w:spacing w:before="292" w:line="189" w:lineRule="auto"/>
              <w:ind w:left="37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982" w:type="dxa"/>
            <w:vAlign w:val="top"/>
          </w:tcPr>
          <w:p>
            <w:pPr>
              <w:spacing w:before="254" w:line="227" w:lineRule="auto"/>
              <w:ind w:left="55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水罐车</w:t>
            </w:r>
            <w:r>
              <w:rPr>
                <w:rFonts w:hint="eastAsia" w:ascii="仿宋_GB2312" w:hAnsi="仿宋_GB2312" w:eastAsia="仿宋_GB2312" w:cs="仿宋_GB2312"/>
                <w:color w:val="auto"/>
                <w:spacing w:val="-1"/>
                <w:sz w:val="24"/>
                <w:szCs w:val="24"/>
              </w:rPr>
              <w:t>(1吨)</w:t>
            </w:r>
          </w:p>
        </w:tc>
        <w:tc>
          <w:tcPr>
            <w:tcW w:w="809" w:type="dxa"/>
            <w:vAlign w:val="top"/>
          </w:tcPr>
          <w:p>
            <w:pPr>
              <w:spacing w:before="291" w:line="192" w:lineRule="auto"/>
              <w:ind w:left="3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18" w:type="dxa"/>
            <w:vAlign w:val="top"/>
          </w:tcPr>
          <w:p>
            <w:pPr>
              <w:spacing w:before="253" w:line="230" w:lineRule="auto"/>
              <w:ind w:left="3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53"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780" w:type="dxa"/>
            <w:vAlign w:val="top"/>
          </w:tcPr>
          <w:p>
            <w:pPr>
              <w:spacing w:before="292" w:line="190" w:lineRule="auto"/>
              <w:ind w:left="37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982" w:type="dxa"/>
            <w:vAlign w:val="top"/>
          </w:tcPr>
          <w:p>
            <w:pPr>
              <w:spacing w:before="254" w:line="227" w:lineRule="auto"/>
              <w:ind w:left="7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风骏皮卡</w:t>
            </w:r>
            <w:r>
              <w:rPr>
                <w:rFonts w:hint="eastAsia" w:ascii="仿宋_GB2312" w:hAnsi="仿宋_GB2312" w:eastAsia="仿宋_GB2312" w:cs="仿宋_GB2312"/>
                <w:color w:val="auto"/>
                <w:spacing w:val="7"/>
                <w:sz w:val="24"/>
                <w:szCs w:val="24"/>
              </w:rPr>
              <w:t>车</w:t>
            </w:r>
          </w:p>
        </w:tc>
        <w:tc>
          <w:tcPr>
            <w:tcW w:w="809" w:type="dxa"/>
            <w:vAlign w:val="top"/>
          </w:tcPr>
          <w:p>
            <w:pPr>
              <w:spacing w:before="292" w:line="190" w:lineRule="auto"/>
              <w:ind w:left="36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18" w:type="dxa"/>
            <w:vAlign w:val="top"/>
          </w:tcPr>
          <w:p>
            <w:pPr>
              <w:spacing w:before="253" w:line="230" w:lineRule="auto"/>
              <w:ind w:left="3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53" w:type="dxa"/>
            <w:vAlign w:val="top"/>
          </w:tcPr>
          <w:p>
            <w:pPr>
              <w:spacing w:before="254" w:line="227" w:lineRule="auto"/>
              <w:ind w:left="87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日常巡</w:t>
            </w:r>
            <w:r>
              <w:rPr>
                <w:rFonts w:hint="eastAsia" w:ascii="仿宋_GB2312" w:hAnsi="仿宋_GB2312" w:eastAsia="仿宋_GB2312" w:cs="仿宋_GB2312"/>
                <w:color w:val="auto"/>
                <w:spacing w:val="1"/>
                <w:sz w:val="24"/>
                <w:szCs w:val="24"/>
              </w:rPr>
              <w:t>查用车</w:t>
            </w:r>
          </w:p>
        </w:tc>
      </w:tr>
    </w:tbl>
    <w:p>
      <w:pPr>
        <w:spacing w:line="315" w:lineRule="auto"/>
        <w:rPr>
          <w:rFonts w:ascii="Arial"/>
          <w:color w:val="auto"/>
          <w:sz w:val="21"/>
        </w:rPr>
      </w:pPr>
    </w:p>
    <w:p>
      <w:pPr>
        <w:pStyle w:val="2"/>
        <w:rPr>
          <w:color w:val="auto"/>
        </w:rPr>
      </w:pPr>
    </w:p>
    <w:p>
      <w:pPr>
        <w:bidi w:val="0"/>
        <w:jc w:val="center"/>
        <w:rPr>
          <w:rFonts w:hint="eastAsia" w:ascii="黑体" w:hAnsi="黑体" w:eastAsia="黑体" w:cs="黑体"/>
          <w:color w:val="auto"/>
          <w:sz w:val="32"/>
          <w:szCs w:val="32"/>
        </w:rPr>
      </w:pPr>
      <w:r>
        <w:rPr>
          <w:rFonts w:hint="eastAsia" w:ascii="黑体" w:hAnsi="黑体" w:eastAsia="黑体" w:cs="黑体"/>
          <w:color w:val="auto"/>
          <w:sz w:val="32"/>
          <w:szCs w:val="32"/>
        </w:rPr>
        <w:t>新城区应急指挥中心灭火物资清单</w:t>
      </w:r>
    </w:p>
    <w:p>
      <w:pPr>
        <w:spacing w:line="67" w:lineRule="exact"/>
        <w:rPr>
          <w:color w:val="auto"/>
        </w:rPr>
      </w:pPr>
    </w:p>
    <w:tbl>
      <w:tblPr>
        <w:tblStyle w:val="25"/>
        <w:tblW w:w="8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1"/>
        <w:gridCol w:w="2982"/>
        <w:gridCol w:w="836"/>
        <w:gridCol w:w="927"/>
        <w:gridCol w:w="2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771" w:type="dxa"/>
            <w:vAlign w:val="top"/>
          </w:tcPr>
          <w:p>
            <w:pPr>
              <w:spacing w:before="252" w:line="229" w:lineRule="auto"/>
              <w:ind w:left="186"/>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序</w:t>
            </w:r>
            <w:r>
              <w:rPr>
                <w:rFonts w:hint="eastAsia" w:ascii="仿宋_GB2312" w:hAnsi="仿宋_GB2312" w:eastAsia="仿宋_GB2312" w:cs="仿宋_GB2312"/>
                <w:b/>
                <w:bCs/>
                <w:color w:val="auto"/>
                <w:spacing w:val="5"/>
                <w:sz w:val="24"/>
                <w:szCs w:val="24"/>
              </w:rPr>
              <w:t>号</w:t>
            </w:r>
          </w:p>
        </w:tc>
        <w:tc>
          <w:tcPr>
            <w:tcW w:w="2982" w:type="dxa"/>
            <w:vAlign w:val="top"/>
          </w:tcPr>
          <w:p>
            <w:pPr>
              <w:spacing w:before="253" w:line="227" w:lineRule="auto"/>
              <w:ind w:left="1101"/>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9"/>
                <w:sz w:val="24"/>
                <w:szCs w:val="24"/>
              </w:rPr>
              <w:t>装</w:t>
            </w:r>
            <w:r>
              <w:rPr>
                <w:rFonts w:hint="eastAsia" w:ascii="仿宋_GB2312" w:hAnsi="仿宋_GB2312" w:eastAsia="仿宋_GB2312" w:cs="仿宋_GB2312"/>
                <w:b/>
                <w:bCs/>
                <w:color w:val="auto"/>
                <w:spacing w:val="7"/>
                <w:sz w:val="24"/>
                <w:szCs w:val="24"/>
              </w:rPr>
              <w:t>备种类</w:t>
            </w:r>
          </w:p>
        </w:tc>
        <w:tc>
          <w:tcPr>
            <w:tcW w:w="836" w:type="dxa"/>
            <w:vAlign w:val="top"/>
          </w:tcPr>
          <w:p>
            <w:pPr>
              <w:spacing w:before="253" w:line="227" w:lineRule="auto"/>
              <w:ind w:left="188"/>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4"/>
                <w:sz w:val="24"/>
                <w:szCs w:val="24"/>
              </w:rPr>
              <w:t>数量</w:t>
            </w:r>
          </w:p>
        </w:tc>
        <w:tc>
          <w:tcPr>
            <w:tcW w:w="927" w:type="dxa"/>
            <w:vAlign w:val="top"/>
          </w:tcPr>
          <w:p>
            <w:pPr>
              <w:spacing w:before="252" w:line="228" w:lineRule="auto"/>
              <w:ind w:left="188"/>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4"/>
                <w:sz w:val="24"/>
                <w:szCs w:val="24"/>
              </w:rPr>
              <w:t>单位</w:t>
            </w:r>
          </w:p>
        </w:tc>
        <w:tc>
          <w:tcPr>
            <w:tcW w:w="2825" w:type="dxa"/>
            <w:vAlign w:val="top"/>
          </w:tcPr>
          <w:p>
            <w:pPr>
              <w:spacing w:before="252" w:line="229" w:lineRule="auto"/>
              <w:ind w:left="1104"/>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4"/>
                <w:sz w:val="24"/>
                <w:szCs w:val="24"/>
              </w:rPr>
              <w:t>备</w:t>
            </w:r>
            <w:r>
              <w:rPr>
                <w:rFonts w:hint="eastAsia" w:ascii="仿宋_GB2312" w:hAnsi="仿宋_GB2312" w:eastAsia="仿宋_GB2312" w:cs="仿宋_GB2312"/>
                <w:b/>
                <w:bCs/>
                <w:color w:val="auto"/>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71" w:type="dxa"/>
            <w:vAlign w:val="top"/>
          </w:tcPr>
          <w:p>
            <w:pPr>
              <w:spacing w:before="288" w:line="192" w:lineRule="auto"/>
              <w:ind w:left="38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982" w:type="dxa"/>
            <w:vAlign w:val="top"/>
          </w:tcPr>
          <w:p>
            <w:pPr>
              <w:spacing w:before="250" w:line="227" w:lineRule="auto"/>
              <w:ind w:left="3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斯</w:t>
            </w:r>
            <w:r>
              <w:rPr>
                <w:rFonts w:hint="eastAsia" w:ascii="仿宋_GB2312" w:hAnsi="仿宋_GB2312" w:eastAsia="仿宋_GB2312" w:cs="仿宋_GB2312"/>
                <w:color w:val="auto"/>
                <w:spacing w:val="7"/>
                <w:sz w:val="24"/>
                <w:szCs w:val="24"/>
              </w:rPr>
              <w:t>蒂尔600 风力灭火机</w:t>
            </w:r>
          </w:p>
        </w:tc>
        <w:tc>
          <w:tcPr>
            <w:tcW w:w="836" w:type="dxa"/>
            <w:vAlign w:val="top"/>
          </w:tcPr>
          <w:p>
            <w:pPr>
              <w:spacing w:before="288" w:line="190" w:lineRule="auto"/>
              <w:ind w:left="31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7</w:t>
            </w:r>
            <w:r>
              <w:rPr>
                <w:rFonts w:hint="eastAsia" w:ascii="仿宋_GB2312" w:hAnsi="仿宋_GB2312" w:eastAsia="仿宋_GB2312" w:cs="仿宋_GB2312"/>
                <w:color w:val="auto"/>
                <w:spacing w:val="-2"/>
                <w:sz w:val="24"/>
                <w:szCs w:val="24"/>
              </w:rPr>
              <w:t>8</w:t>
            </w:r>
          </w:p>
        </w:tc>
        <w:tc>
          <w:tcPr>
            <w:tcW w:w="927" w:type="dxa"/>
            <w:vAlign w:val="top"/>
          </w:tcPr>
          <w:p>
            <w:pPr>
              <w:spacing w:before="250" w:line="230" w:lineRule="auto"/>
              <w:ind w:left="32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25"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71" w:type="dxa"/>
            <w:vAlign w:val="top"/>
          </w:tcPr>
          <w:p>
            <w:pPr>
              <w:spacing w:before="288" w:line="192" w:lineRule="auto"/>
              <w:ind w:left="37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982" w:type="dxa"/>
            <w:vAlign w:val="top"/>
          </w:tcPr>
          <w:p>
            <w:pPr>
              <w:spacing w:before="250" w:line="229" w:lineRule="auto"/>
              <w:ind w:left="110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二</w:t>
            </w:r>
            <w:r>
              <w:rPr>
                <w:rFonts w:hint="eastAsia" w:ascii="仿宋_GB2312" w:hAnsi="仿宋_GB2312" w:eastAsia="仿宋_GB2312" w:cs="仿宋_GB2312"/>
                <w:color w:val="auto"/>
                <w:spacing w:val="6"/>
                <w:sz w:val="24"/>
                <w:szCs w:val="24"/>
              </w:rPr>
              <w:t>号工具</w:t>
            </w:r>
          </w:p>
        </w:tc>
        <w:tc>
          <w:tcPr>
            <w:tcW w:w="836" w:type="dxa"/>
            <w:vAlign w:val="top"/>
          </w:tcPr>
          <w:p>
            <w:pPr>
              <w:spacing w:before="287" w:line="191" w:lineRule="auto"/>
              <w:ind w:left="26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1</w:t>
            </w:r>
            <w:r>
              <w:rPr>
                <w:rFonts w:hint="eastAsia" w:ascii="仿宋_GB2312" w:hAnsi="仿宋_GB2312" w:eastAsia="仿宋_GB2312" w:cs="仿宋_GB2312"/>
                <w:color w:val="auto"/>
                <w:spacing w:val="-4"/>
                <w:sz w:val="24"/>
                <w:szCs w:val="24"/>
              </w:rPr>
              <w:t>30</w:t>
            </w:r>
          </w:p>
        </w:tc>
        <w:tc>
          <w:tcPr>
            <w:tcW w:w="927" w:type="dxa"/>
            <w:vAlign w:val="top"/>
          </w:tcPr>
          <w:p>
            <w:pPr>
              <w:spacing w:before="250" w:line="230" w:lineRule="auto"/>
              <w:ind w:left="30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把</w:t>
            </w:r>
          </w:p>
        </w:tc>
        <w:tc>
          <w:tcPr>
            <w:tcW w:w="2825"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771" w:type="dxa"/>
            <w:vAlign w:val="top"/>
          </w:tcPr>
          <w:p>
            <w:pPr>
              <w:spacing w:before="289" w:line="190" w:lineRule="auto"/>
              <w:ind w:left="3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982" w:type="dxa"/>
            <w:vAlign w:val="top"/>
          </w:tcPr>
          <w:p>
            <w:pPr>
              <w:spacing w:before="250" w:line="227" w:lineRule="auto"/>
              <w:ind w:left="122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w:t>
            </w:r>
            <w:r>
              <w:rPr>
                <w:rFonts w:hint="eastAsia" w:ascii="仿宋_GB2312" w:hAnsi="仿宋_GB2312" w:eastAsia="仿宋_GB2312" w:cs="仿宋_GB2312"/>
                <w:color w:val="auto"/>
                <w:spacing w:val="5"/>
                <w:sz w:val="24"/>
                <w:szCs w:val="24"/>
              </w:rPr>
              <w:t>火弹</w:t>
            </w:r>
          </w:p>
        </w:tc>
        <w:tc>
          <w:tcPr>
            <w:tcW w:w="836" w:type="dxa"/>
            <w:vAlign w:val="top"/>
          </w:tcPr>
          <w:p>
            <w:pPr>
              <w:spacing w:before="289" w:line="190" w:lineRule="auto"/>
              <w:ind w:left="30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4</w:t>
            </w:r>
            <w:r>
              <w:rPr>
                <w:rFonts w:hint="eastAsia" w:ascii="仿宋_GB2312" w:hAnsi="仿宋_GB2312" w:eastAsia="仿宋_GB2312" w:cs="仿宋_GB2312"/>
                <w:color w:val="auto"/>
                <w:sz w:val="24"/>
                <w:szCs w:val="24"/>
              </w:rPr>
              <w:t>0</w:t>
            </w:r>
          </w:p>
        </w:tc>
        <w:tc>
          <w:tcPr>
            <w:tcW w:w="927" w:type="dxa"/>
            <w:vAlign w:val="top"/>
          </w:tcPr>
          <w:p>
            <w:pPr>
              <w:spacing w:before="251" w:line="228" w:lineRule="auto"/>
              <w:ind w:left="30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箱</w:t>
            </w:r>
          </w:p>
        </w:tc>
        <w:tc>
          <w:tcPr>
            <w:tcW w:w="2825"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71" w:type="dxa"/>
            <w:vAlign w:val="top"/>
          </w:tcPr>
          <w:p>
            <w:pPr>
              <w:spacing w:before="288" w:line="192" w:lineRule="auto"/>
              <w:ind w:left="36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82" w:type="dxa"/>
            <w:vAlign w:val="top"/>
          </w:tcPr>
          <w:p>
            <w:pPr>
              <w:spacing w:before="250" w:line="227" w:lineRule="auto"/>
              <w:ind w:left="122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打</w:t>
            </w:r>
            <w:r>
              <w:rPr>
                <w:rFonts w:hint="eastAsia" w:ascii="仿宋_GB2312" w:hAnsi="仿宋_GB2312" w:eastAsia="仿宋_GB2312" w:cs="仿宋_GB2312"/>
                <w:color w:val="auto"/>
                <w:spacing w:val="5"/>
                <w:sz w:val="24"/>
                <w:szCs w:val="24"/>
              </w:rPr>
              <w:t>草机</w:t>
            </w:r>
          </w:p>
        </w:tc>
        <w:tc>
          <w:tcPr>
            <w:tcW w:w="836" w:type="dxa"/>
            <w:vAlign w:val="top"/>
          </w:tcPr>
          <w:p>
            <w:pPr>
              <w:spacing w:before="290" w:line="189" w:lineRule="auto"/>
              <w:ind w:left="3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27" w:type="dxa"/>
            <w:vAlign w:val="top"/>
          </w:tcPr>
          <w:p>
            <w:pPr>
              <w:spacing w:before="250" w:line="230" w:lineRule="auto"/>
              <w:ind w:left="32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25"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771" w:type="dxa"/>
            <w:vAlign w:val="top"/>
          </w:tcPr>
          <w:p>
            <w:pPr>
              <w:spacing w:before="292" w:line="189" w:lineRule="auto"/>
              <w:ind w:left="3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982" w:type="dxa"/>
            <w:vAlign w:val="top"/>
          </w:tcPr>
          <w:p>
            <w:pPr>
              <w:spacing w:before="253" w:line="228" w:lineRule="auto"/>
              <w:ind w:left="9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斯蒂尔油</w:t>
            </w:r>
            <w:r>
              <w:rPr>
                <w:rFonts w:hint="eastAsia" w:ascii="仿宋_GB2312" w:hAnsi="仿宋_GB2312" w:eastAsia="仿宋_GB2312" w:cs="仿宋_GB2312"/>
                <w:color w:val="auto"/>
                <w:spacing w:val="7"/>
                <w:sz w:val="24"/>
                <w:szCs w:val="24"/>
              </w:rPr>
              <w:t>锯</w:t>
            </w:r>
          </w:p>
        </w:tc>
        <w:tc>
          <w:tcPr>
            <w:tcW w:w="836" w:type="dxa"/>
            <w:vAlign w:val="top"/>
          </w:tcPr>
          <w:p>
            <w:pPr>
              <w:spacing w:before="292" w:line="189" w:lineRule="auto"/>
              <w:ind w:left="3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27" w:type="dxa"/>
            <w:vAlign w:val="top"/>
          </w:tcPr>
          <w:p>
            <w:pPr>
              <w:spacing w:before="253" w:line="230" w:lineRule="auto"/>
              <w:ind w:left="32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2825"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1" w:hRule="atLeast"/>
        </w:trPr>
        <w:tc>
          <w:tcPr>
            <w:tcW w:w="771" w:type="dxa"/>
            <w:vAlign w:val="top"/>
          </w:tcPr>
          <w:p>
            <w:pPr>
              <w:spacing w:before="291" w:line="190" w:lineRule="auto"/>
              <w:ind w:left="3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982" w:type="dxa"/>
            <w:vAlign w:val="top"/>
          </w:tcPr>
          <w:p>
            <w:pPr>
              <w:spacing w:before="253" w:line="227" w:lineRule="auto"/>
              <w:ind w:left="134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水</w:t>
            </w:r>
            <w:r>
              <w:rPr>
                <w:rFonts w:hint="eastAsia" w:ascii="仿宋_GB2312" w:hAnsi="仿宋_GB2312" w:eastAsia="仿宋_GB2312" w:cs="仿宋_GB2312"/>
                <w:color w:val="auto"/>
                <w:spacing w:val="3"/>
                <w:sz w:val="24"/>
                <w:szCs w:val="24"/>
              </w:rPr>
              <w:t>枪</w:t>
            </w:r>
          </w:p>
        </w:tc>
        <w:tc>
          <w:tcPr>
            <w:tcW w:w="836" w:type="dxa"/>
            <w:vAlign w:val="top"/>
          </w:tcPr>
          <w:p>
            <w:pPr>
              <w:spacing w:before="291" w:line="190" w:lineRule="auto"/>
              <w:ind w:left="30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2</w:t>
            </w:r>
            <w:r>
              <w:rPr>
                <w:rFonts w:hint="eastAsia" w:ascii="仿宋_GB2312" w:hAnsi="仿宋_GB2312" w:eastAsia="仿宋_GB2312" w:cs="仿宋_GB2312"/>
                <w:color w:val="auto"/>
                <w:spacing w:val="-1"/>
                <w:sz w:val="24"/>
                <w:szCs w:val="24"/>
              </w:rPr>
              <w:t>5</w:t>
            </w:r>
          </w:p>
        </w:tc>
        <w:tc>
          <w:tcPr>
            <w:tcW w:w="927" w:type="dxa"/>
            <w:vAlign w:val="top"/>
          </w:tcPr>
          <w:p>
            <w:pPr>
              <w:spacing w:before="253" w:line="227" w:lineRule="auto"/>
              <w:ind w:left="30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2825"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771" w:type="dxa"/>
            <w:vAlign w:val="top"/>
          </w:tcPr>
          <w:p>
            <w:pPr>
              <w:spacing w:before="292" w:line="189" w:lineRule="auto"/>
              <w:ind w:left="37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982" w:type="dxa"/>
            <w:vAlign w:val="top"/>
          </w:tcPr>
          <w:p>
            <w:pPr>
              <w:spacing w:before="253" w:line="228" w:lineRule="auto"/>
              <w:ind w:left="13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铁</w:t>
            </w:r>
            <w:r>
              <w:rPr>
                <w:rFonts w:hint="eastAsia" w:ascii="仿宋_GB2312" w:hAnsi="仿宋_GB2312" w:eastAsia="仿宋_GB2312" w:cs="仿宋_GB2312"/>
                <w:color w:val="auto"/>
                <w:spacing w:val="5"/>
                <w:sz w:val="24"/>
                <w:szCs w:val="24"/>
              </w:rPr>
              <w:t>锹</w:t>
            </w:r>
          </w:p>
        </w:tc>
        <w:tc>
          <w:tcPr>
            <w:tcW w:w="836" w:type="dxa"/>
            <w:vAlign w:val="top"/>
          </w:tcPr>
          <w:p>
            <w:pPr>
              <w:spacing w:before="290" w:line="191" w:lineRule="auto"/>
              <w:ind w:left="26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1</w:t>
            </w:r>
            <w:r>
              <w:rPr>
                <w:rFonts w:hint="eastAsia" w:ascii="仿宋_GB2312" w:hAnsi="仿宋_GB2312" w:eastAsia="仿宋_GB2312" w:cs="仿宋_GB2312"/>
                <w:color w:val="auto"/>
                <w:spacing w:val="-4"/>
                <w:sz w:val="24"/>
                <w:szCs w:val="24"/>
              </w:rPr>
              <w:t>20</w:t>
            </w:r>
          </w:p>
        </w:tc>
        <w:tc>
          <w:tcPr>
            <w:tcW w:w="927" w:type="dxa"/>
            <w:vAlign w:val="top"/>
          </w:tcPr>
          <w:p>
            <w:pPr>
              <w:spacing w:before="252" w:line="230" w:lineRule="auto"/>
              <w:ind w:left="30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把</w:t>
            </w:r>
          </w:p>
        </w:tc>
        <w:tc>
          <w:tcPr>
            <w:tcW w:w="2825" w:type="dxa"/>
            <w:vAlign w:val="top"/>
          </w:tcPr>
          <w:p>
            <w:pPr>
              <w:rPr>
                <w:rFonts w:hint="eastAsia" w:ascii="仿宋_GB2312" w:hAnsi="仿宋_GB2312" w:eastAsia="仿宋_GB2312" w:cs="仿宋_GB2312"/>
                <w:color w:val="auto"/>
                <w:sz w:val="24"/>
                <w:szCs w:val="24"/>
              </w:rPr>
            </w:pPr>
          </w:p>
        </w:tc>
      </w:tr>
    </w:tbl>
    <w:p>
      <w:pPr>
        <w:rPr>
          <w:color w:val="auto"/>
        </w:rPr>
        <w:sectPr>
          <w:pgSz w:w="11906" w:h="16839"/>
          <w:pgMar w:top="1431" w:right="1778" w:bottom="0" w:left="1780" w:header="0" w:footer="992" w:gutter="0"/>
          <w:pgBorders>
            <w:top w:val="none" w:sz="0" w:space="0"/>
            <w:left w:val="none" w:sz="0" w:space="0"/>
            <w:bottom w:val="none" w:sz="0" w:space="0"/>
            <w:right w:val="none" w:sz="0" w:space="0"/>
          </w:pgBorders>
          <w:pgNumType w:fmt="decimal"/>
          <w:cols w:space="720" w:num="1"/>
        </w:sectPr>
      </w:pPr>
    </w:p>
    <w:p>
      <w:pPr>
        <w:bidi w:val="0"/>
        <w:jc w:val="center"/>
        <w:rPr>
          <w:rFonts w:hint="eastAsia" w:ascii="黑体" w:hAnsi="黑体" w:eastAsia="黑体" w:cs="黑体"/>
          <w:color w:val="auto"/>
          <w:sz w:val="32"/>
          <w:szCs w:val="32"/>
        </w:rPr>
      </w:pPr>
    </w:p>
    <w:p>
      <w:pPr>
        <w:bidi w:val="0"/>
        <w:jc w:val="center"/>
        <w:rPr>
          <w:rFonts w:hint="eastAsia"/>
          <w:color w:val="auto"/>
        </w:rPr>
      </w:pPr>
      <w:r>
        <w:rPr>
          <w:rFonts w:hint="eastAsia" w:ascii="黑体" w:hAnsi="黑体" w:eastAsia="黑体" w:cs="黑体"/>
          <w:color w:val="auto"/>
          <w:sz w:val="32"/>
          <w:szCs w:val="32"/>
        </w:rPr>
        <w:t>古路板管理站车辆清单</w:t>
      </w:r>
    </w:p>
    <w:p>
      <w:pPr>
        <w:spacing w:line="69" w:lineRule="exact"/>
        <w:rPr>
          <w:color w:val="auto"/>
        </w:rPr>
      </w:pPr>
    </w:p>
    <w:tbl>
      <w:tblPr>
        <w:tblStyle w:val="25"/>
        <w:tblW w:w="832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9"/>
        <w:gridCol w:w="1285"/>
        <w:gridCol w:w="1187"/>
        <w:gridCol w:w="1285"/>
        <w:gridCol w:w="1099"/>
        <w:gridCol w:w="1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2119" w:type="dxa"/>
            <w:vMerge w:val="restart"/>
            <w:tcBorders>
              <w:left w:val="single" w:color="000000" w:sz="6" w:space="0"/>
              <w:right w:val="single" w:color="000000" w:sz="6" w:space="0"/>
              <w:tl2br w:val="single" w:color="000000" w:sz="2" w:space="0"/>
            </w:tcBorders>
            <w:vAlign w:val="top"/>
          </w:tcPr>
          <w:p>
            <w:pPr>
              <w:spacing w:before="249" w:line="228" w:lineRule="auto"/>
              <w:ind w:firstLine="747" w:firstLineChars="300"/>
              <w:jc w:val="both"/>
              <w:rPr>
                <w:rFonts w:hint="eastAsia" w:ascii="仿宋_GB2312" w:hAnsi="仿宋_GB2312" w:eastAsia="仿宋_GB2312" w:cs="仿宋_GB2312"/>
                <w:b/>
                <w:bCs/>
                <w:i w:val="0"/>
                <w:iCs w:val="0"/>
                <w:color w:val="auto"/>
                <w:spacing w:val="4"/>
                <w:sz w:val="24"/>
                <w:szCs w:val="24"/>
                <w:lang w:val="en-US" w:eastAsia="zh-CN"/>
              </w:rPr>
            </w:pPr>
            <w:r>
              <w:rPr>
                <w:rFonts w:hint="eastAsia" w:ascii="仿宋_GB2312" w:hAnsi="仿宋_GB2312" w:eastAsia="仿宋_GB2312" w:cs="仿宋_GB2312"/>
                <w:b/>
                <w:bCs/>
                <w:i w:val="0"/>
                <w:iCs w:val="0"/>
                <w:color w:val="auto"/>
                <w:spacing w:val="4"/>
                <w:sz w:val="24"/>
                <w:szCs w:val="24"/>
                <w:lang w:val="en-US" w:eastAsia="zh-CN"/>
              </w:rPr>
              <w:t>车辆类型</w:t>
            </w:r>
          </w:p>
          <w:p>
            <w:pPr>
              <w:spacing w:before="249" w:line="228" w:lineRule="auto"/>
              <w:rPr>
                <w:rFonts w:hint="default" w:ascii="仿宋_GB2312" w:hAnsi="仿宋_GB2312" w:eastAsia="仿宋_GB2312" w:cs="仿宋_GB2312"/>
                <w:color w:val="auto"/>
                <w:spacing w:val="4"/>
                <w:sz w:val="24"/>
                <w:szCs w:val="24"/>
                <w:lang w:val="en-US" w:eastAsia="zh-CN"/>
              </w:rPr>
            </w:pPr>
            <w:r>
              <w:rPr>
                <w:rFonts w:hint="eastAsia" w:ascii="仿宋_GB2312" w:hAnsi="仿宋_GB2312" w:eastAsia="仿宋_GB2312" w:cs="仿宋_GB2312"/>
                <w:b/>
                <w:bCs/>
                <w:color w:val="auto"/>
                <w:spacing w:val="4"/>
                <w:sz w:val="24"/>
                <w:szCs w:val="24"/>
                <w:lang w:val="en-US" w:eastAsia="zh-CN"/>
              </w:rPr>
              <w:t>存放地点</w:t>
            </w:r>
          </w:p>
        </w:tc>
        <w:tc>
          <w:tcPr>
            <w:tcW w:w="1285" w:type="dxa"/>
            <w:tcBorders>
              <w:left w:val="single" w:color="000000" w:sz="6" w:space="0"/>
            </w:tcBorders>
            <w:vAlign w:val="top"/>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运兵车</w:t>
            </w:r>
          </w:p>
        </w:tc>
        <w:tc>
          <w:tcPr>
            <w:tcW w:w="1187" w:type="dxa"/>
            <w:vAlign w:val="top"/>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lang w:val="en-US" w:eastAsia="zh-CN"/>
              </w:rPr>
              <w:t>水</w:t>
            </w:r>
            <w:r>
              <w:rPr>
                <w:rFonts w:hint="eastAsia" w:ascii="仿宋_GB2312" w:hAnsi="仿宋_GB2312" w:eastAsia="仿宋_GB2312" w:cs="仿宋_GB2312"/>
                <w:b/>
                <w:bCs/>
                <w:color w:val="auto"/>
                <w:spacing w:val="4"/>
                <w:sz w:val="24"/>
                <w:szCs w:val="24"/>
              </w:rPr>
              <w:t>罐车</w:t>
            </w:r>
          </w:p>
        </w:tc>
        <w:tc>
          <w:tcPr>
            <w:tcW w:w="1285" w:type="dxa"/>
            <w:vAlign w:val="top"/>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拖拉机</w:t>
            </w:r>
          </w:p>
        </w:tc>
        <w:tc>
          <w:tcPr>
            <w:tcW w:w="1099" w:type="dxa"/>
            <w:vAlign w:val="top"/>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移动检 查站</w:t>
            </w:r>
          </w:p>
        </w:tc>
        <w:tc>
          <w:tcPr>
            <w:tcW w:w="1353" w:type="dxa"/>
            <w:vAlign w:val="top"/>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铧犁等设备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2119" w:type="dxa"/>
            <w:vMerge w:val="continue"/>
            <w:tcBorders>
              <w:left w:val="single" w:color="000000" w:sz="6" w:space="0"/>
              <w:right w:val="single" w:color="000000" w:sz="6" w:space="0"/>
            </w:tcBorders>
            <w:vAlign w:val="top"/>
          </w:tcPr>
          <w:p>
            <w:pPr>
              <w:spacing w:before="249" w:line="228" w:lineRule="auto"/>
              <w:ind w:left="932"/>
              <w:rPr>
                <w:rFonts w:hint="eastAsia" w:ascii="仿宋_GB2312" w:hAnsi="仿宋_GB2312" w:eastAsia="仿宋_GB2312" w:cs="仿宋_GB2312"/>
                <w:color w:val="auto"/>
                <w:spacing w:val="4"/>
                <w:sz w:val="24"/>
                <w:szCs w:val="24"/>
              </w:rPr>
            </w:pPr>
          </w:p>
        </w:tc>
        <w:tc>
          <w:tcPr>
            <w:tcW w:w="1285" w:type="dxa"/>
            <w:tcBorders>
              <w:left w:val="single" w:color="000000" w:sz="6" w:space="0"/>
            </w:tcBorders>
            <w:vAlign w:val="center"/>
          </w:tcPr>
          <w:p>
            <w:pPr>
              <w:spacing w:before="249" w:line="228" w:lineRule="auto"/>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辆</w:t>
            </w:r>
          </w:p>
        </w:tc>
        <w:tc>
          <w:tcPr>
            <w:tcW w:w="1187" w:type="dxa"/>
            <w:vAlign w:val="center"/>
          </w:tcPr>
          <w:p>
            <w:pPr>
              <w:spacing w:before="249" w:line="228" w:lineRule="auto"/>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辆</w:t>
            </w:r>
          </w:p>
        </w:tc>
        <w:tc>
          <w:tcPr>
            <w:tcW w:w="1285" w:type="dxa"/>
            <w:vAlign w:val="center"/>
          </w:tcPr>
          <w:p>
            <w:pPr>
              <w:spacing w:before="249" w:line="228" w:lineRule="auto"/>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台</w:t>
            </w:r>
          </w:p>
        </w:tc>
        <w:tc>
          <w:tcPr>
            <w:tcW w:w="1099" w:type="dxa"/>
            <w:vAlign w:val="center"/>
          </w:tcPr>
          <w:p>
            <w:pPr>
              <w:spacing w:before="249" w:line="228" w:lineRule="auto"/>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个</w:t>
            </w:r>
          </w:p>
        </w:tc>
        <w:tc>
          <w:tcPr>
            <w:tcW w:w="1353" w:type="dxa"/>
            <w:vAlign w:val="center"/>
          </w:tcPr>
          <w:p>
            <w:pPr>
              <w:spacing w:before="249" w:line="228" w:lineRule="auto"/>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2119" w:type="dxa"/>
            <w:tcBorders>
              <w:left w:val="single" w:color="000000" w:sz="6" w:space="0"/>
              <w:right w:val="single" w:color="000000" w:sz="6" w:space="0"/>
            </w:tcBorders>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古路板管理站</w:t>
            </w:r>
          </w:p>
        </w:tc>
        <w:tc>
          <w:tcPr>
            <w:tcW w:w="1285" w:type="dxa"/>
            <w:tcBorders>
              <w:left w:val="single" w:color="000000" w:sz="6" w:space="0"/>
            </w:tcBorders>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1187"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285"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09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353"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bl>
    <w:p>
      <w:pPr>
        <w:spacing w:line="314" w:lineRule="auto"/>
        <w:rPr>
          <w:rFonts w:hint="eastAsia" w:ascii="仿宋_GB2312" w:hAnsi="仿宋_GB2312" w:eastAsia="仿宋_GB2312" w:cs="仿宋_GB2312"/>
          <w:color w:val="auto"/>
          <w:sz w:val="24"/>
          <w:szCs w:val="24"/>
        </w:rPr>
      </w:pPr>
    </w:p>
    <w:p>
      <w:pPr>
        <w:spacing w:line="315" w:lineRule="auto"/>
        <w:rPr>
          <w:rFonts w:ascii="Arial"/>
          <w:color w:val="auto"/>
          <w:sz w:val="21"/>
        </w:rPr>
      </w:pPr>
    </w:p>
    <w:p>
      <w:pPr>
        <w:bidi w:val="0"/>
        <w:jc w:val="center"/>
        <w:rPr>
          <w:rFonts w:hint="eastAsia" w:ascii="黑体" w:hAnsi="黑体" w:eastAsia="黑体" w:cs="黑体"/>
          <w:color w:val="auto"/>
          <w:sz w:val="32"/>
          <w:szCs w:val="32"/>
        </w:rPr>
      </w:pPr>
    </w:p>
    <w:p>
      <w:pPr>
        <w:bidi w:val="0"/>
        <w:jc w:val="center"/>
        <w:rPr>
          <w:rFonts w:hint="eastAsia"/>
          <w:color w:val="auto"/>
        </w:rPr>
      </w:pPr>
      <w:r>
        <w:rPr>
          <w:rFonts w:hint="eastAsia" w:ascii="黑体" w:hAnsi="黑体" w:eastAsia="黑体" w:cs="黑体"/>
          <w:color w:val="auto"/>
          <w:sz w:val="32"/>
          <w:szCs w:val="32"/>
        </w:rPr>
        <w:t>古路板管理站灭火物资清单</w:t>
      </w:r>
    </w:p>
    <w:p>
      <w:pPr>
        <w:spacing w:line="70" w:lineRule="exact"/>
        <w:rPr>
          <w:color w:val="auto"/>
        </w:rPr>
      </w:pPr>
    </w:p>
    <w:tbl>
      <w:tblPr>
        <w:tblStyle w:val="25"/>
        <w:tblW w:w="875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43"/>
        <w:gridCol w:w="1342"/>
        <w:gridCol w:w="1415"/>
        <w:gridCol w:w="921"/>
        <w:gridCol w:w="879"/>
        <w:gridCol w:w="795"/>
        <w:gridCol w:w="1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2343" w:type="dxa"/>
            <w:vMerge w:val="restart"/>
            <w:tcBorders>
              <w:left w:val="single" w:color="000000" w:sz="6" w:space="0"/>
              <w:right w:val="single" w:color="000000" w:sz="6" w:space="0"/>
              <w:tl2br w:val="single" w:color="000000" w:sz="2" w:space="0"/>
            </w:tcBorders>
            <w:vAlign w:val="top"/>
          </w:tcPr>
          <w:p>
            <w:pPr>
              <w:bidi w:val="0"/>
              <w:rPr>
                <w:rFonts w:hint="eastAsia"/>
                <w:color w:val="auto"/>
              </w:rPr>
            </w:pPr>
          </w:p>
          <w:p>
            <w:pPr>
              <w:bidi w:val="0"/>
              <w:jc w:val="center"/>
              <w:rPr>
                <w:rFonts w:hint="eastAsia" w:ascii="仿宋_GB2312" w:hAnsi="仿宋_GB2312" w:eastAsia="仿宋_GB2312" w:cs="仿宋_GB2312"/>
                <w:b/>
                <w:bCs/>
                <w:color w:val="auto"/>
                <w:sz w:val="24"/>
                <w:szCs w:val="24"/>
                <w:lang w:val="en-US" w:eastAsia="zh-CN"/>
              </w:rPr>
            </w:pPr>
            <w:r>
              <w:rPr>
                <w:rFonts w:hint="eastAsia"/>
                <w:color w:val="auto"/>
                <w:lang w:val="en-US" w:eastAsia="zh-CN"/>
              </w:rPr>
              <w:t xml:space="preserve">     </w:t>
            </w:r>
            <w:r>
              <w:rPr>
                <w:rFonts w:hint="eastAsia"/>
                <w:b/>
                <w:bCs/>
                <w:color w:val="auto"/>
                <w:lang w:val="en-US" w:eastAsia="zh-CN"/>
              </w:rPr>
              <w:t xml:space="preserve"> </w:t>
            </w:r>
            <w:r>
              <w:rPr>
                <w:rFonts w:hint="eastAsia" w:ascii="仿宋_GB2312" w:hAnsi="仿宋_GB2312" w:eastAsia="仿宋_GB2312" w:cs="仿宋_GB2312"/>
                <w:b/>
                <w:bCs/>
                <w:color w:val="auto"/>
                <w:sz w:val="24"/>
                <w:szCs w:val="24"/>
                <w:lang w:val="en-US" w:eastAsia="zh-CN"/>
              </w:rPr>
              <w:t xml:space="preserve">    物资类型</w:t>
            </w:r>
          </w:p>
          <w:p>
            <w:pPr>
              <w:bidi w:val="0"/>
              <w:rPr>
                <w:rFonts w:hint="eastAsia" w:ascii="仿宋_GB2312" w:hAnsi="仿宋_GB2312" w:eastAsia="仿宋_GB2312" w:cs="仿宋_GB2312"/>
                <w:b/>
                <w:bCs/>
                <w:color w:val="auto"/>
                <w:sz w:val="24"/>
                <w:szCs w:val="24"/>
                <w:lang w:val="en-US" w:eastAsia="zh-CN"/>
              </w:rPr>
            </w:pPr>
          </w:p>
          <w:p>
            <w:pPr>
              <w:bidi w:val="0"/>
              <w:rPr>
                <w:rFonts w:hint="eastAsia" w:ascii="仿宋_GB2312" w:hAnsi="仿宋_GB2312" w:eastAsia="仿宋_GB2312" w:cs="仿宋_GB2312"/>
                <w:b/>
                <w:bCs/>
                <w:color w:val="auto"/>
                <w:sz w:val="24"/>
                <w:szCs w:val="24"/>
                <w:lang w:val="en-US" w:eastAsia="zh-CN"/>
              </w:rPr>
            </w:pPr>
          </w:p>
          <w:p>
            <w:pPr>
              <w:bidi w:val="0"/>
              <w:jc w:val="left"/>
              <w:rPr>
                <w:rFonts w:hint="default"/>
                <w:color w:val="auto"/>
                <w:lang w:val="en-US" w:eastAsia="zh-CN"/>
              </w:rPr>
            </w:pPr>
            <w:r>
              <w:rPr>
                <w:rFonts w:hint="eastAsia" w:ascii="仿宋_GB2312" w:hAnsi="仿宋_GB2312" w:eastAsia="仿宋_GB2312" w:cs="仿宋_GB2312"/>
                <w:b/>
                <w:bCs/>
                <w:color w:val="auto"/>
                <w:sz w:val="24"/>
                <w:szCs w:val="24"/>
                <w:lang w:val="en-US" w:eastAsia="zh-CN"/>
              </w:rPr>
              <w:t>存放地点</w:t>
            </w:r>
          </w:p>
        </w:tc>
        <w:tc>
          <w:tcPr>
            <w:tcW w:w="1342" w:type="dxa"/>
            <w:tcBorders>
              <w:left w:val="single" w:color="000000" w:sz="6" w:space="0"/>
            </w:tcBorders>
            <w:vAlign w:val="center"/>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风力灭火机</w:t>
            </w:r>
          </w:p>
        </w:tc>
        <w:tc>
          <w:tcPr>
            <w:tcW w:w="1415" w:type="dxa"/>
            <w:vAlign w:val="center"/>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二号工具</w:t>
            </w:r>
          </w:p>
        </w:tc>
        <w:tc>
          <w:tcPr>
            <w:tcW w:w="921" w:type="dxa"/>
            <w:vAlign w:val="center"/>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望远镜</w:t>
            </w:r>
          </w:p>
        </w:tc>
        <w:tc>
          <w:tcPr>
            <w:tcW w:w="879" w:type="dxa"/>
            <w:vAlign w:val="center"/>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GPS</w:t>
            </w:r>
          </w:p>
        </w:tc>
        <w:tc>
          <w:tcPr>
            <w:tcW w:w="795" w:type="dxa"/>
            <w:vAlign w:val="center"/>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电台</w:t>
            </w:r>
          </w:p>
        </w:tc>
        <w:tc>
          <w:tcPr>
            <w:tcW w:w="1058" w:type="dxa"/>
            <w:vAlign w:val="center"/>
          </w:tcPr>
          <w:p>
            <w:pPr>
              <w:spacing w:before="249" w:line="228" w:lineRule="auto"/>
              <w:jc w:val="center"/>
              <w:rPr>
                <w:rFonts w:hint="eastAsia" w:ascii="仿宋_GB2312" w:hAnsi="仿宋_GB2312" w:eastAsia="仿宋_GB2312" w:cs="仿宋_GB2312"/>
                <w:b/>
                <w:bCs/>
                <w:color w:val="auto"/>
                <w:spacing w:val="4"/>
                <w:sz w:val="24"/>
                <w:szCs w:val="24"/>
              </w:rPr>
            </w:pPr>
            <w:r>
              <w:rPr>
                <w:rFonts w:hint="eastAsia" w:ascii="仿宋_GB2312" w:hAnsi="仿宋_GB2312" w:eastAsia="仿宋_GB2312" w:cs="仿宋_GB2312"/>
                <w:b/>
                <w:bCs/>
                <w:color w:val="auto"/>
                <w:spacing w:val="4"/>
                <w:sz w:val="24"/>
                <w:szCs w:val="24"/>
              </w:rPr>
              <w:t>单兵装备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2343" w:type="dxa"/>
            <w:vMerge w:val="continue"/>
            <w:tcBorders>
              <w:left w:val="single" w:color="000000" w:sz="6" w:space="0"/>
              <w:right w:val="single" w:color="000000" w:sz="6" w:space="0"/>
            </w:tcBorders>
            <w:vAlign w:val="top"/>
          </w:tcPr>
          <w:p>
            <w:pPr>
              <w:bidi w:val="0"/>
              <w:rPr>
                <w:rFonts w:hint="eastAsia" w:ascii="仿宋_GB2312" w:hAnsi="仿宋_GB2312" w:eastAsia="仿宋_GB2312" w:cs="仿宋_GB2312"/>
                <w:color w:val="auto"/>
                <w:sz w:val="24"/>
                <w:szCs w:val="24"/>
              </w:rPr>
            </w:pPr>
          </w:p>
        </w:tc>
        <w:tc>
          <w:tcPr>
            <w:tcW w:w="1342" w:type="dxa"/>
            <w:tcBorders>
              <w:left w:val="single" w:color="000000" w:sz="6" w:space="0"/>
            </w:tcBorders>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1415"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把</w:t>
            </w:r>
          </w:p>
        </w:tc>
        <w:tc>
          <w:tcPr>
            <w:tcW w:w="92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87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795"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套</w:t>
            </w:r>
          </w:p>
        </w:tc>
        <w:tc>
          <w:tcPr>
            <w:tcW w:w="1058"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2343" w:type="dxa"/>
            <w:tcBorders>
              <w:left w:val="single" w:color="000000" w:sz="6" w:space="0"/>
              <w:right w:val="single" w:color="000000" w:sz="6" w:space="0"/>
            </w:tcBorders>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古路板管理站</w:t>
            </w:r>
          </w:p>
        </w:tc>
        <w:tc>
          <w:tcPr>
            <w:tcW w:w="1342" w:type="dxa"/>
            <w:tcBorders>
              <w:left w:val="single" w:color="000000" w:sz="6" w:space="0"/>
            </w:tcBorders>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1415"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92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87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5"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1058"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bl>
    <w:p>
      <w:pPr>
        <w:rPr>
          <w:color w:val="auto"/>
        </w:rPr>
        <w:sectPr>
          <w:pgSz w:w="11906" w:h="16839"/>
          <w:pgMar w:top="1431" w:right="1626" w:bottom="0" w:left="1775" w:header="0" w:footer="964" w:gutter="0"/>
          <w:pgBorders>
            <w:top w:val="none" w:sz="0" w:space="0"/>
            <w:left w:val="none" w:sz="0" w:space="0"/>
            <w:bottom w:val="none" w:sz="0" w:space="0"/>
            <w:right w:val="none" w:sz="0" w:space="0"/>
          </w:pgBorders>
          <w:pgNumType w:fmt="decimal"/>
          <w:cols w:space="720" w:num="1"/>
        </w:sectPr>
      </w:pPr>
    </w:p>
    <w:p>
      <w:pPr>
        <w:spacing w:line="242" w:lineRule="auto"/>
        <w:rPr>
          <w:rFonts w:ascii="Arial"/>
          <w:color w:val="auto"/>
          <w:sz w:val="21"/>
        </w:rPr>
      </w:pPr>
    </w:p>
    <w:p>
      <w:pPr>
        <w:bidi w:val="0"/>
        <w:jc w:val="center"/>
        <w:rPr>
          <w:rFonts w:hint="eastAsia" w:ascii="黑体" w:hAnsi="黑体" w:eastAsia="黑体" w:cs="黑体"/>
          <w:color w:val="auto"/>
          <w:sz w:val="32"/>
          <w:szCs w:val="32"/>
        </w:rPr>
      </w:pPr>
      <w:r>
        <w:rPr>
          <w:rFonts w:hint="eastAsia" w:ascii="黑体" w:hAnsi="黑体" w:eastAsia="黑体" w:cs="黑体"/>
          <w:color w:val="auto"/>
          <w:sz w:val="32"/>
          <w:szCs w:val="32"/>
        </w:rPr>
        <w:t>保合少镇车辆清单</w:t>
      </w:r>
    </w:p>
    <w:p>
      <w:pPr>
        <w:spacing w:line="104" w:lineRule="exact"/>
        <w:rPr>
          <w:color w:val="auto"/>
        </w:rPr>
      </w:pPr>
    </w:p>
    <w:tbl>
      <w:tblPr>
        <w:tblStyle w:val="25"/>
        <w:tblW w:w="125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14"/>
        <w:gridCol w:w="794"/>
        <w:gridCol w:w="793"/>
        <w:gridCol w:w="944"/>
        <w:gridCol w:w="794"/>
        <w:gridCol w:w="793"/>
        <w:gridCol w:w="794"/>
        <w:gridCol w:w="794"/>
        <w:gridCol w:w="794"/>
        <w:gridCol w:w="793"/>
        <w:gridCol w:w="983"/>
        <w:gridCol w:w="782"/>
        <w:gridCol w:w="7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jc w:val="center"/>
        </w:trPr>
        <w:tc>
          <w:tcPr>
            <w:tcW w:w="2714" w:type="dxa"/>
            <w:vMerge w:val="restart"/>
            <w:tcBorders>
              <w:tl2br w:val="single" w:color="000000" w:sz="2" w:space="0"/>
            </w:tcBorders>
            <w:vAlign w:val="top"/>
          </w:tcPr>
          <w:p>
            <w:pPr>
              <w:spacing w:line="331" w:lineRule="auto"/>
              <w:rPr>
                <w:rFonts w:hint="eastAsia"/>
                <w:color w:val="auto"/>
              </w:rPr>
            </w:pPr>
          </w:p>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 xml:space="preserve">             车辆类别</w:t>
            </w:r>
          </w:p>
          <w:p>
            <w:pPr>
              <w:bidi w:val="0"/>
              <w:jc w:val="both"/>
              <w:rPr>
                <w:rFonts w:hint="default" w:ascii="仿宋_GB2312" w:hAnsi="仿宋_GB2312" w:eastAsia="仿宋_GB2312" w:cs="仿宋_GB2312"/>
                <w:b/>
                <w:bCs/>
                <w:color w:val="auto"/>
                <w:sz w:val="24"/>
                <w:szCs w:val="24"/>
                <w:lang w:val="en-US" w:eastAsia="zh-CN"/>
              </w:rPr>
            </w:pPr>
          </w:p>
          <w:p>
            <w:pPr>
              <w:bidi w:val="0"/>
              <w:jc w:val="both"/>
              <w:rPr>
                <w:rFonts w:hint="default"/>
                <w:color w:val="auto"/>
                <w:lang w:val="en-US" w:eastAsia="zh-CN"/>
              </w:rPr>
            </w:pPr>
            <w:r>
              <w:rPr>
                <w:rFonts w:hint="eastAsia" w:ascii="仿宋_GB2312" w:hAnsi="仿宋_GB2312" w:eastAsia="仿宋_GB2312" w:cs="仿宋_GB2312"/>
                <w:b/>
                <w:bCs/>
                <w:color w:val="auto"/>
                <w:sz w:val="24"/>
                <w:szCs w:val="24"/>
                <w:lang w:val="en-US" w:eastAsia="zh-CN"/>
              </w:rPr>
              <w:t>存放地点</w:t>
            </w:r>
          </w:p>
        </w:tc>
        <w:tc>
          <w:tcPr>
            <w:tcW w:w="794"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指挥车</w:t>
            </w:r>
          </w:p>
        </w:tc>
        <w:tc>
          <w:tcPr>
            <w:tcW w:w="793"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通信车</w:t>
            </w:r>
          </w:p>
        </w:tc>
        <w:tc>
          <w:tcPr>
            <w:tcW w:w="944"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巡护、</w:t>
            </w:r>
          </w:p>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宣传车</w:t>
            </w:r>
          </w:p>
        </w:tc>
        <w:tc>
          <w:tcPr>
            <w:tcW w:w="794"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运兵车</w:t>
            </w:r>
          </w:p>
        </w:tc>
        <w:tc>
          <w:tcPr>
            <w:tcW w:w="793"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水罐车</w:t>
            </w:r>
          </w:p>
        </w:tc>
        <w:tc>
          <w:tcPr>
            <w:tcW w:w="794"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运载车</w:t>
            </w:r>
          </w:p>
        </w:tc>
        <w:tc>
          <w:tcPr>
            <w:tcW w:w="794"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挖掘机</w:t>
            </w:r>
          </w:p>
        </w:tc>
        <w:tc>
          <w:tcPr>
            <w:tcW w:w="794"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拖拉机</w:t>
            </w:r>
          </w:p>
        </w:tc>
        <w:tc>
          <w:tcPr>
            <w:tcW w:w="793"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推土机</w:t>
            </w:r>
          </w:p>
        </w:tc>
        <w:tc>
          <w:tcPr>
            <w:tcW w:w="983"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铧犁</w:t>
            </w:r>
          </w:p>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等设备</w:t>
            </w:r>
          </w:p>
        </w:tc>
        <w:tc>
          <w:tcPr>
            <w:tcW w:w="782"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四轮</w:t>
            </w:r>
          </w:p>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摩托</w:t>
            </w:r>
          </w:p>
        </w:tc>
        <w:tc>
          <w:tcPr>
            <w:tcW w:w="746"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摩托车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jc w:val="center"/>
        </w:trPr>
        <w:tc>
          <w:tcPr>
            <w:tcW w:w="2714" w:type="dxa"/>
            <w:vMerge w:val="continue"/>
            <w:vAlign w:val="top"/>
          </w:tcPr>
          <w:p>
            <w:pPr>
              <w:bidi w:val="0"/>
              <w:jc w:val="center"/>
              <w:rPr>
                <w:rFonts w:hint="eastAsia" w:ascii="仿宋_GB2312" w:hAnsi="仿宋_GB2312" w:eastAsia="仿宋_GB2312" w:cs="仿宋_GB2312"/>
                <w:b/>
                <w:bCs/>
                <w:color w:val="auto"/>
                <w:sz w:val="24"/>
                <w:szCs w:val="24"/>
              </w:rPr>
            </w:pPr>
          </w:p>
        </w:tc>
        <w:tc>
          <w:tcPr>
            <w:tcW w:w="794" w:type="dxa"/>
            <w:vAlign w:val="top"/>
          </w:tcPr>
          <w:p>
            <w:pPr>
              <w:spacing w:before="93" w:line="227" w:lineRule="auto"/>
              <w:ind w:left="2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793" w:type="dxa"/>
            <w:vAlign w:val="top"/>
          </w:tcPr>
          <w:p>
            <w:pPr>
              <w:spacing w:before="93" w:line="227" w:lineRule="auto"/>
              <w:ind w:left="2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944" w:type="dxa"/>
            <w:vAlign w:val="top"/>
          </w:tcPr>
          <w:p>
            <w:pPr>
              <w:spacing w:before="93" w:line="227" w:lineRule="auto"/>
              <w:ind w:left="35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794" w:type="dxa"/>
            <w:vAlign w:val="top"/>
          </w:tcPr>
          <w:p>
            <w:pPr>
              <w:spacing w:before="93" w:line="227" w:lineRule="auto"/>
              <w:ind w:left="28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793" w:type="dxa"/>
            <w:vAlign w:val="top"/>
          </w:tcPr>
          <w:p>
            <w:pPr>
              <w:spacing w:before="93" w:line="227" w:lineRule="auto"/>
              <w:ind w:left="28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794" w:type="dxa"/>
            <w:vAlign w:val="top"/>
          </w:tcPr>
          <w:p>
            <w:pPr>
              <w:spacing w:before="93" w:line="227" w:lineRule="auto"/>
              <w:ind w:left="28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794" w:type="dxa"/>
            <w:vAlign w:val="top"/>
          </w:tcPr>
          <w:p>
            <w:pPr>
              <w:spacing w:before="92" w:line="230" w:lineRule="auto"/>
              <w:ind w:left="30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794" w:type="dxa"/>
            <w:vAlign w:val="top"/>
          </w:tcPr>
          <w:p>
            <w:pPr>
              <w:spacing w:before="92" w:line="230" w:lineRule="auto"/>
              <w:ind w:left="30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793" w:type="dxa"/>
            <w:vAlign w:val="top"/>
          </w:tcPr>
          <w:p>
            <w:pPr>
              <w:spacing w:before="92" w:line="230" w:lineRule="auto"/>
              <w:ind w:left="30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w:t>
            </w:r>
          </w:p>
        </w:tc>
        <w:tc>
          <w:tcPr>
            <w:tcW w:w="983" w:type="dxa"/>
            <w:vAlign w:val="top"/>
          </w:tcPr>
          <w:p>
            <w:pPr>
              <w:spacing w:before="92" w:line="228" w:lineRule="auto"/>
              <w:ind w:left="28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套</w:t>
            </w:r>
          </w:p>
        </w:tc>
        <w:tc>
          <w:tcPr>
            <w:tcW w:w="782" w:type="dxa"/>
            <w:vAlign w:val="top"/>
          </w:tcPr>
          <w:p>
            <w:pPr>
              <w:spacing w:before="93" w:line="227" w:lineRule="auto"/>
              <w:ind w:left="28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c>
          <w:tcPr>
            <w:tcW w:w="746" w:type="dxa"/>
            <w:vAlign w:val="top"/>
          </w:tcPr>
          <w:p>
            <w:pPr>
              <w:spacing w:before="93" w:line="227" w:lineRule="auto"/>
              <w:ind w:left="28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保合少镇人民政府</w:t>
            </w:r>
          </w:p>
        </w:tc>
        <w:tc>
          <w:tcPr>
            <w:tcW w:w="794" w:type="dxa"/>
            <w:vAlign w:val="top"/>
          </w:tcPr>
          <w:p>
            <w:pPr>
              <w:spacing w:before="87" w:line="189" w:lineRule="auto"/>
              <w:ind w:left="34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93" w:type="dxa"/>
            <w:vAlign w:val="top"/>
          </w:tcPr>
          <w:p>
            <w:pPr>
              <w:spacing w:before="85" w:line="192" w:lineRule="auto"/>
              <w:ind w:left="34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44" w:type="dxa"/>
            <w:vAlign w:val="top"/>
          </w:tcPr>
          <w:p>
            <w:pPr>
              <w:spacing w:before="85" w:line="192" w:lineRule="auto"/>
              <w:ind w:left="43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85" w:line="192" w:lineRule="auto"/>
              <w:ind w:left="34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3" w:type="dxa"/>
            <w:vAlign w:val="top"/>
          </w:tcPr>
          <w:p>
            <w:pPr>
              <w:spacing w:before="84" w:line="191" w:lineRule="auto"/>
              <w:ind w:left="30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1</w:t>
            </w:r>
            <w:r>
              <w:rPr>
                <w:rFonts w:hint="eastAsia" w:ascii="仿宋_GB2312" w:hAnsi="仿宋_GB2312" w:eastAsia="仿宋_GB2312" w:cs="仿宋_GB2312"/>
                <w:color w:val="auto"/>
                <w:spacing w:val="-8"/>
                <w:sz w:val="24"/>
                <w:szCs w:val="24"/>
              </w:rPr>
              <w:t>0</w:t>
            </w:r>
          </w:p>
        </w:tc>
        <w:tc>
          <w:tcPr>
            <w:tcW w:w="794" w:type="dxa"/>
            <w:vAlign w:val="top"/>
          </w:tcPr>
          <w:p>
            <w:pPr>
              <w:spacing w:before="87" w:line="189" w:lineRule="auto"/>
              <w:ind w:left="34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94" w:type="dxa"/>
            <w:vAlign w:val="top"/>
          </w:tcPr>
          <w:p>
            <w:pPr>
              <w:spacing w:before="85" w:line="190" w:lineRule="auto"/>
              <w:ind w:left="34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94" w:type="dxa"/>
            <w:vAlign w:val="top"/>
          </w:tcPr>
          <w:p>
            <w:pPr>
              <w:spacing w:before="85" w:line="190" w:lineRule="auto"/>
              <w:ind w:left="34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93" w:type="dxa"/>
            <w:vAlign w:val="top"/>
          </w:tcPr>
          <w:p>
            <w:pPr>
              <w:spacing w:before="85" w:line="190" w:lineRule="auto"/>
              <w:ind w:left="3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83" w:type="dxa"/>
            <w:vAlign w:val="top"/>
          </w:tcPr>
          <w:p>
            <w:pPr>
              <w:spacing w:before="85" w:line="190" w:lineRule="auto"/>
              <w:ind w:left="34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spacing w:before="85" w:line="192" w:lineRule="auto"/>
              <w:ind w:left="34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水磨村委会</w:t>
            </w:r>
          </w:p>
        </w:tc>
        <w:tc>
          <w:tcPr>
            <w:tcW w:w="794" w:type="dxa"/>
            <w:vAlign w:val="top"/>
          </w:tcPr>
          <w:p>
            <w:pPr>
              <w:spacing w:before="86"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spacing w:before="86" w:line="192" w:lineRule="auto"/>
              <w:ind w:left="43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86"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6"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spacing w:before="86" w:line="192" w:lineRule="auto"/>
              <w:ind w:left="36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3" w:type="dxa"/>
            <w:vAlign w:val="top"/>
          </w:tcPr>
          <w:p>
            <w:pPr>
              <w:spacing w:before="86" w:line="192" w:lineRule="auto"/>
              <w:ind w:left="36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古路板村委会</w:t>
            </w:r>
          </w:p>
        </w:tc>
        <w:tc>
          <w:tcPr>
            <w:tcW w:w="794" w:type="dxa"/>
            <w:vAlign w:val="top"/>
          </w:tcPr>
          <w:p>
            <w:pPr>
              <w:spacing w:before="84"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4"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spacing w:before="84" w:line="192" w:lineRule="auto"/>
              <w:ind w:left="34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野马图村委会</w:t>
            </w:r>
          </w:p>
        </w:tc>
        <w:tc>
          <w:tcPr>
            <w:tcW w:w="794" w:type="dxa"/>
            <w:vAlign w:val="top"/>
          </w:tcPr>
          <w:p>
            <w:pPr>
              <w:spacing w:before="86"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spacing w:before="86"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86" w:line="192" w:lineRule="auto"/>
              <w:ind w:left="34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6"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rPr>
                <w:rFonts w:hint="eastAsia" w:ascii="仿宋_GB2312" w:hAnsi="仿宋_GB2312" w:eastAsia="仿宋_GB2312" w:cs="仿宋_GB2312"/>
                <w:color w:val="auto"/>
                <w:sz w:val="24"/>
                <w:szCs w:val="24"/>
              </w:rPr>
            </w:pP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奎素村委会</w:t>
            </w:r>
          </w:p>
        </w:tc>
        <w:tc>
          <w:tcPr>
            <w:tcW w:w="794" w:type="dxa"/>
            <w:vAlign w:val="top"/>
          </w:tcPr>
          <w:p>
            <w:pPr>
              <w:spacing w:before="88"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spacing w:before="88"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8"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88" w:line="192" w:lineRule="auto"/>
              <w:ind w:left="36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3" w:type="dxa"/>
            <w:vAlign w:val="top"/>
          </w:tcPr>
          <w:p>
            <w:pPr>
              <w:rPr>
                <w:rFonts w:hint="eastAsia" w:ascii="仿宋_GB2312" w:hAnsi="仿宋_GB2312" w:eastAsia="仿宋_GB2312" w:cs="仿宋_GB2312"/>
                <w:color w:val="auto"/>
                <w:sz w:val="24"/>
                <w:szCs w:val="24"/>
              </w:rPr>
            </w:pP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恼包村委会</w:t>
            </w:r>
          </w:p>
        </w:tc>
        <w:tc>
          <w:tcPr>
            <w:tcW w:w="794" w:type="dxa"/>
            <w:vAlign w:val="top"/>
          </w:tcPr>
          <w:p>
            <w:pPr>
              <w:spacing w:before="80" w:line="190"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0" w:line="190" w:lineRule="auto"/>
              <w:ind w:left="34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0" w:line="190"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rPr>
                <w:rFonts w:hint="eastAsia" w:ascii="仿宋_GB2312" w:hAnsi="仿宋_GB2312" w:eastAsia="仿宋_GB2312" w:cs="仿宋_GB2312"/>
                <w:color w:val="auto"/>
                <w:sz w:val="24"/>
                <w:szCs w:val="24"/>
              </w:rPr>
            </w:pP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甲兰板村委会</w:t>
            </w:r>
          </w:p>
        </w:tc>
        <w:tc>
          <w:tcPr>
            <w:tcW w:w="794" w:type="dxa"/>
            <w:vAlign w:val="top"/>
          </w:tcPr>
          <w:p>
            <w:pPr>
              <w:spacing w:before="79" w:line="191"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79" w:line="191"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79" w:line="191" w:lineRule="auto"/>
              <w:ind w:left="3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79" w:line="191"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rPr>
                <w:rFonts w:hint="eastAsia" w:ascii="仿宋_GB2312" w:hAnsi="仿宋_GB2312" w:eastAsia="仿宋_GB2312" w:cs="仿宋_GB2312"/>
                <w:color w:val="auto"/>
                <w:sz w:val="24"/>
                <w:szCs w:val="24"/>
              </w:rPr>
            </w:pP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保和少村委会</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80" w:line="190" w:lineRule="auto"/>
              <w:ind w:left="34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spacing w:before="77" w:line="192" w:lineRule="auto"/>
              <w:ind w:left="36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庄子村委会</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79" w:line="191"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79" w:line="191" w:lineRule="auto"/>
              <w:ind w:left="3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79" w:line="191"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79" w:line="191"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spacing w:before="79" w:line="191" w:lineRule="auto"/>
              <w:ind w:left="36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spacing w:before="79" w:line="191"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水泉村委会</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77"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77" w:line="192" w:lineRule="auto"/>
              <w:ind w:left="3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77"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rPr>
                <w:rFonts w:hint="eastAsia" w:ascii="仿宋_GB2312" w:hAnsi="仿宋_GB2312" w:eastAsia="仿宋_GB2312" w:cs="仿宋_GB2312"/>
                <w:color w:val="auto"/>
                <w:sz w:val="24"/>
                <w:szCs w:val="24"/>
              </w:rPr>
            </w:pP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大窑村委会</w:t>
            </w: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rPr>
                <w:rFonts w:hint="eastAsia" w:ascii="仿宋_GB2312" w:hAnsi="仿宋_GB2312" w:eastAsia="仿宋_GB2312" w:cs="仿宋_GB2312"/>
                <w:color w:val="auto"/>
                <w:sz w:val="24"/>
                <w:szCs w:val="24"/>
              </w:rPr>
            </w:pPr>
          </w:p>
        </w:tc>
        <w:tc>
          <w:tcPr>
            <w:tcW w:w="794" w:type="dxa"/>
            <w:vAlign w:val="top"/>
          </w:tcPr>
          <w:p>
            <w:pPr>
              <w:rPr>
                <w:rFonts w:hint="eastAsia" w:ascii="仿宋_GB2312" w:hAnsi="仿宋_GB2312" w:eastAsia="仿宋_GB2312" w:cs="仿宋_GB2312"/>
                <w:color w:val="auto"/>
                <w:sz w:val="24"/>
                <w:szCs w:val="24"/>
              </w:rPr>
            </w:pPr>
          </w:p>
        </w:tc>
        <w:tc>
          <w:tcPr>
            <w:tcW w:w="793" w:type="dxa"/>
            <w:vAlign w:val="top"/>
          </w:tcPr>
          <w:p>
            <w:pPr>
              <w:spacing w:before="77"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77" w:line="192" w:lineRule="auto"/>
              <w:ind w:left="3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77"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83" w:type="dxa"/>
            <w:vAlign w:val="top"/>
          </w:tcPr>
          <w:p>
            <w:pPr>
              <w:rPr>
                <w:rFonts w:hint="eastAsia" w:ascii="仿宋_GB2312" w:hAnsi="仿宋_GB2312" w:eastAsia="仿宋_GB2312" w:cs="仿宋_GB2312"/>
                <w:color w:val="auto"/>
                <w:sz w:val="24"/>
                <w:szCs w:val="24"/>
              </w:rPr>
            </w:pP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2714"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面铺窑村委会</w:t>
            </w:r>
          </w:p>
        </w:tc>
        <w:tc>
          <w:tcPr>
            <w:tcW w:w="794" w:type="dxa"/>
            <w:vAlign w:val="top"/>
          </w:tcPr>
          <w:p>
            <w:pPr>
              <w:spacing w:before="80" w:line="192" w:lineRule="auto"/>
              <w:ind w:left="35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rPr>
                <w:rFonts w:hint="eastAsia" w:ascii="仿宋_GB2312" w:hAnsi="仿宋_GB2312" w:eastAsia="仿宋_GB2312" w:cs="仿宋_GB2312"/>
                <w:color w:val="auto"/>
                <w:sz w:val="24"/>
                <w:szCs w:val="24"/>
              </w:rPr>
            </w:pPr>
          </w:p>
        </w:tc>
        <w:tc>
          <w:tcPr>
            <w:tcW w:w="944" w:type="dxa"/>
            <w:vAlign w:val="top"/>
          </w:tcPr>
          <w:p>
            <w:pPr>
              <w:spacing w:before="80" w:line="192" w:lineRule="auto"/>
              <w:ind w:left="43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80" w:line="192" w:lineRule="auto"/>
              <w:ind w:left="34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3" w:type="dxa"/>
            <w:vAlign w:val="top"/>
          </w:tcPr>
          <w:p>
            <w:pPr>
              <w:spacing w:before="80"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spacing w:before="80" w:line="192" w:lineRule="auto"/>
              <w:ind w:left="3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4" w:type="dxa"/>
            <w:vAlign w:val="top"/>
          </w:tcPr>
          <w:p>
            <w:pPr>
              <w:rPr>
                <w:rFonts w:hint="eastAsia" w:ascii="仿宋_GB2312" w:hAnsi="仿宋_GB2312" w:eastAsia="仿宋_GB2312" w:cs="仿宋_GB2312"/>
                <w:color w:val="auto"/>
                <w:sz w:val="24"/>
                <w:szCs w:val="24"/>
              </w:rPr>
            </w:pPr>
          </w:p>
        </w:tc>
        <w:tc>
          <w:tcPr>
            <w:tcW w:w="794" w:type="dxa"/>
            <w:vAlign w:val="top"/>
          </w:tcPr>
          <w:p>
            <w:pPr>
              <w:spacing w:before="80"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3" w:type="dxa"/>
            <w:vAlign w:val="top"/>
          </w:tcPr>
          <w:p>
            <w:pPr>
              <w:spacing w:before="80" w:line="192" w:lineRule="auto"/>
              <w:ind w:left="36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3" w:type="dxa"/>
            <w:vAlign w:val="top"/>
          </w:tcPr>
          <w:p>
            <w:pPr>
              <w:spacing w:before="77" w:line="192" w:lineRule="auto"/>
              <w:ind w:left="36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82" w:type="dxa"/>
            <w:vAlign w:val="top"/>
          </w:tcPr>
          <w:p>
            <w:pPr>
              <w:rPr>
                <w:rFonts w:hint="eastAsia" w:ascii="仿宋_GB2312" w:hAnsi="仿宋_GB2312" w:eastAsia="仿宋_GB2312" w:cs="仿宋_GB2312"/>
                <w:color w:val="auto"/>
                <w:sz w:val="24"/>
                <w:szCs w:val="24"/>
              </w:rPr>
            </w:pPr>
          </w:p>
        </w:tc>
        <w:tc>
          <w:tcPr>
            <w:tcW w:w="746" w:type="dxa"/>
            <w:vAlign w:val="top"/>
          </w:tcPr>
          <w:p>
            <w:pPr>
              <w:spacing w:before="77" w:line="192" w:lineRule="auto"/>
              <w:ind w:left="36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bl>
    <w:p>
      <w:pPr>
        <w:rPr>
          <w:color w:val="auto"/>
        </w:rPr>
        <w:sectPr>
          <w:pgSz w:w="16839" w:h="11906"/>
          <w:pgMar w:top="1012" w:right="2525" w:bottom="0" w:left="1420" w:header="0" w:footer="964" w:gutter="0"/>
          <w:pgBorders>
            <w:top w:val="none" w:sz="0" w:space="0"/>
            <w:left w:val="none" w:sz="0" w:space="0"/>
            <w:bottom w:val="none" w:sz="0" w:space="0"/>
            <w:right w:val="none" w:sz="0" w:space="0"/>
          </w:pgBorders>
          <w:pgNumType w:fmt="decimal"/>
          <w:cols w:space="720" w:num="1"/>
        </w:sectPr>
      </w:pPr>
    </w:p>
    <w:p>
      <w:pPr>
        <w:spacing w:line="337" w:lineRule="auto"/>
        <w:rPr>
          <w:rFonts w:ascii="Arial"/>
          <w:color w:val="auto"/>
          <w:sz w:val="21"/>
        </w:rPr>
      </w:pPr>
    </w:p>
    <w:p>
      <w:pPr>
        <w:bidi w:val="0"/>
        <w:jc w:val="center"/>
        <w:rPr>
          <w:rFonts w:hint="eastAsia" w:ascii="黑体" w:hAnsi="黑体" w:eastAsia="黑体" w:cs="黑体"/>
          <w:color w:val="auto"/>
          <w:sz w:val="32"/>
          <w:szCs w:val="32"/>
        </w:rPr>
      </w:pPr>
      <w:r>
        <w:rPr>
          <w:rFonts w:hint="eastAsia" w:ascii="黑体" w:hAnsi="黑体" w:eastAsia="黑体" w:cs="黑体"/>
          <w:color w:val="auto"/>
          <w:sz w:val="32"/>
          <w:szCs w:val="32"/>
        </w:rPr>
        <w:t>保合少镇灭火物资清单</w:t>
      </w:r>
    </w:p>
    <w:p>
      <w:pPr>
        <w:spacing w:line="104" w:lineRule="exact"/>
        <w:rPr>
          <w:color w:val="auto"/>
        </w:rPr>
      </w:pPr>
    </w:p>
    <w:tbl>
      <w:tblPr>
        <w:tblStyle w:val="25"/>
        <w:tblW w:w="8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7"/>
        <w:gridCol w:w="1211"/>
        <w:gridCol w:w="726"/>
        <w:gridCol w:w="1022"/>
        <w:gridCol w:w="949"/>
        <w:gridCol w:w="950"/>
        <w:gridCol w:w="10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jc w:val="center"/>
        </w:trPr>
        <w:tc>
          <w:tcPr>
            <w:tcW w:w="2417" w:type="dxa"/>
            <w:vMerge w:val="restart"/>
            <w:tcBorders>
              <w:tl2br w:val="single" w:color="000000" w:sz="2" w:space="0"/>
            </w:tcBorders>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 xml:space="preserve">      物资名称（单位）</w:t>
            </w:r>
          </w:p>
          <w:p>
            <w:pPr>
              <w:bidi w:val="0"/>
              <w:jc w:val="center"/>
              <w:rPr>
                <w:rFonts w:hint="default" w:ascii="仿宋_GB2312" w:hAnsi="仿宋_GB2312" w:eastAsia="仿宋_GB2312" w:cs="仿宋_GB2312"/>
                <w:b/>
                <w:bCs/>
                <w:color w:val="auto"/>
                <w:sz w:val="24"/>
                <w:szCs w:val="24"/>
                <w:lang w:val="en-US" w:eastAsia="zh-CN"/>
              </w:rPr>
            </w:pPr>
          </w:p>
          <w:p>
            <w:pPr>
              <w:bidi w:val="0"/>
              <w:jc w:val="both"/>
              <w:rPr>
                <w:rFonts w:hint="default"/>
                <w:color w:val="auto"/>
                <w:lang w:val="en-US" w:eastAsia="zh-CN"/>
              </w:rPr>
            </w:pPr>
            <w:r>
              <w:rPr>
                <w:rFonts w:hint="eastAsia" w:ascii="仿宋_GB2312" w:hAnsi="仿宋_GB2312" w:eastAsia="仿宋_GB2312" w:cs="仿宋_GB2312"/>
                <w:b/>
                <w:bCs/>
                <w:color w:val="auto"/>
                <w:sz w:val="24"/>
                <w:szCs w:val="24"/>
                <w:lang w:val="en-US" w:eastAsia="zh-CN"/>
              </w:rPr>
              <w:t>存放地点</w:t>
            </w:r>
          </w:p>
        </w:tc>
        <w:tc>
          <w:tcPr>
            <w:tcW w:w="1211"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风力灭火机</w:t>
            </w:r>
          </w:p>
        </w:tc>
        <w:tc>
          <w:tcPr>
            <w:tcW w:w="726"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扑火服</w:t>
            </w:r>
          </w:p>
        </w:tc>
        <w:tc>
          <w:tcPr>
            <w:tcW w:w="1022"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安全防</w:t>
            </w:r>
          </w:p>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护装备</w:t>
            </w:r>
          </w:p>
        </w:tc>
        <w:tc>
          <w:tcPr>
            <w:tcW w:w="949"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二号</w:t>
            </w:r>
          </w:p>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工具</w:t>
            </w:r>
          </w:p>
        </w:tc>
        <w:tc>
          <w:tcPr>
            <w:tcW w:w="950"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帐篷</w:t>
            </w:r>
          </w:p>
        </w:tc>
        <w:tc>
          <w:tcPr>
            <w:tcW w:w="1016"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望远镜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Merge w:val="continue"/>
            <w:vAlign w:val="center"/>
          </w:tcPr>
          <w:p>
            <w:pPr>
              <w:bidi w:val="0"/>
              <w:jc w:val="center"/>
              <w:rPr>
                <w:rFonts w:hint="eastAsia" w:ascii="仿宋_GB2312" w:hAnsi="仿宋_GB2312" w:eastAsia="仿宋_GB2312" w:cs="仿宋_GB2312"/>
                <w:color w:val="auto"/>
                <w:sz w:val="24"/>
                <w:szCs w:val="24"/>
              </w:rPr>
            </w:pP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726"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套</w:t>
            </w:r>
          </w:p>
        </w:tc>
        <w:tc>
          <w:tcPr>
            <w:tcW w:w="1022"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套</w:t>
            </w: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把</w:t>
            </w:r>
          </w:p>
        </w:tc>
        <w:tc>
          <w:tcPr>
            <w:tcW w:w="950"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1016"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保合少镇人民政府</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w:t>
            </w:r>
          </w:p>
        </w:tc>
        <w:tc>
          <w:tcPr>
            <w:tcW w:w="726"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022"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w:t>
            </w:r>
          </w:p>
        </w:tc>
        <w:tc>
          <w:tcPr>
            <w:tcW w:w="950"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016"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水磨村委会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古路板村委会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6"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950"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野马图村委会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奎素村委会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恼包村委会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甲兰板村委会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保和少村委会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庄子村委会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50"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水泉村委会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大窑村委会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jc w:val="center"/>
        </w:trPr>
        <w:tc>
          <w:tcPr>
            <w:tcW w:w="2417" w:type="dxa"/>
            <w:vAlign w:val="center"/>
          </w:tcPr>
          <w:p>
            <w:pPr>
              <w:bidi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面铺窑村委会</w:t>
            </w:r>
          </w:p>
        </w:tc>
        <w:tc>
          <w:tcPr>
            <w:tcW w:w="1211"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6" w:type="dxa"/>
            <w:vAlign w:val="center"/>
          </w:tcPr>
          <w:p>
            <w:pPr>
              <w:bidi w:val="0"/>
              <w:jc w:val="center"/>
              <w:rPr>
                <w:rFonts w:hint="eastAsia" w:ascii="仿宋_GB2312" w:hAnsi="仿宋_GB2312" w:eastAsia="仿宋_GB2312" w:cs="仿宋_GB2312"/>
                <w:color w:val="auto"/>
                <w:sz w:val="24"/>
                <w:szCs w:val="24"/>
              </w:rPr>
            </w:pPr>
          </w:p>
        </w:tc>
        <w:tc>
          <w:tcPr>
            <w:tcW w:w="1022" w:type="dxa"/>
            <w:vAlign w:val="center"/>
          </w:tcPr>
          <w:p>
            <w:pPr>
              <w:bidi w:val="0"/>
              <w:jc w:val="center"/>
              <w:rPr>
                <w:rFonts w:hint="eastAsia" w:ascii="仿宋_GB2312" w:hAnsi="仿宋_GB2312" w:eastAsia="仿宋_GB2312" w:cs="仿宋_GB2312"/>
                <w:color w:val="auto"/>
                <w:sz w:val="24"/>
                <w:szCs w:val="24"/>
              </w:rPr>
            </w:pPr>
          </w:p>
        </w:tc>
        <w:tc>
          <w:tcPr>
            <w:tcW w:w="949" w:type="dxa"/>
            <w:vAlign w:val="center"/>
          </w:tcPr>
          <w:p>
            <w:pPr>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950" w:type="dxa"/>
            <w:vAlign w:val="center"/>
          </w:tcPr>
          <w:p>
            <w:pPr>
              <w:bidi w:val="0"/>
              <w:jc w:val="center"/>
              <w:rPr>
                <w:rFonts w:hint="eastAsia" w:ascii="仿宋_GB2312" w:hAnsi="仿宋_GB2312" w:eastAsia="仿宋_GB2312" w:cs="仿宋_GB2312"/>
                <w:color w:val="auto"/>
                <w:sz w:val="24"/>
                <w:szCs w:val="24"/>
              </w:rPr>
            </w:pPr>
          </w:p>
        </w:tc>
        <w:tc>
          <w:tcPr>
            <w:tcW w:w="1016" w:type="dxa"/>
            <w:vAlign w:val="center"/>
          </w:tcPr>
          <w:p>
            <w:pPr>
              <w:bidi w:val="0"/>
              <w:jc w:val="center"/>
              <w:rPr>
                <w:rFonts w:hint="eastAsia" w:ascii="仿宋_GB2312" w:hAnsi="仿宋_GB2312" w:eastAsia="仿宋_GB2312" w:cs="仿宋_GB2312"/>
                <w:color w:val="auto"/>
                <w:sz w:val="24"/>
                <w:szCs w:val="24"/>
              </w:rPr>
            </w:pPr>
          </w:p>
        </w:tc>
      </w:tr>
    </w:tbl>
    <w:p>
      <w:pPr>
        <w:rPr>
          <w:rFonts w:ascii="Arial"/>
          <w:color w:val="auto"/>
          <w:sz w:val="21"/>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成办库房现有应急物资登记表</w:t>
      </w:r>
    </w:p>
    <w:p>
      <w:pPr>
        <w:spacing w:line="127" w:lineRule="auto"/>
        <w:rPr>
          <w:rFonts w:ascii="Arial"/>
          <w:color w:val="auto"/>
          <w:sz w:val="2"/>
        </w:rPr>
      </w:pPr>
    </w:p>
    <w:tbl>
      <w:tblPr>
        <w:tblStyle w:val="2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6"/>
        <w:gridCol w:w="2675"/>
        <w:gridCol w:w="1863"/>
        <w:gridCol w:w="1775"/>
        <w:gridCol w:w="1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776"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序号</w:t>
            </w:r>
          </w:p>
        </w:tc>
        <w:tc>
          <w:tcPr>
            <w:tcW w:w="2675"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应急物资名称</w:t>
            </w:r>
          </w:p>
        </w:tc>
        <w:tc>
          <w:tcPr>
            <w:tcW w:w="1863"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现库存数量</w:t>
            </w:r>
          </w:p>
        </w:tc>
        <w:tc>
          <w:tcPr>
            <w:tcW w:w="1775"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负责人</w:t>
            </w:r>
          </w:p>
        </w:tc>
        <w:tc>
          <w:tcPr>
            <w:tcW w:w="1437" w:type="dxa"/>
            <w:vAlign w:val="center"/>
          </w:tcPr>
          <w:p>
            <w:pPr>
              <w:bidi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776" w:type="dxa"/>
            <w:vAlign w:val="top"/>
          </w:tcPr>
          <w:p>
            <w:pPr>
              <w:spacing w:before="91"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675" w:type="dxa"/>
            <w:vAlign w:val="top"/>
          </w:tcPr>
          <w:p>
            <w:pPr>
              <w:spacing w:before="91" w:line="224"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3"/>
                <w:sz w:val="24"/>
                <w:szCs w:val="24"/>
              </w:rPr>
              <w:t>镐</w:t>
            </w:r>
            <w:r>
              <w:rPr>
                <w:rFonts w:hint="eastAsia" w:ascii="仿宋_GB2312" w:hAnsi="仿宋_GB2312" w:eastAsia="仿宋_GB2312" w:cs="仿宋_GB2312"/>
                <w:color w:val="auto"/>
                <w:spacing w:val="-11"/>
                <w:sz w:val="24"/>
                <w:szCs w:val="24"/>
              </w:rPr>
              <w:t>头</w:t>
            </w:r>
          </w:p>
        </w:tc>
        <w:tc>
          <w:tcPr>
            <w:tcW w:w="1863" w:type="dxa"/>
            <w:vAlign w:val="top"/>
          </w:tcPr>
          <w:p>
            <w:pPr>
              <w:spacing w:before="91" w:line="224" w:lineRule="auto"/>
              <w:ind w:firstLine="546" w:firstLineChars="3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9"/>
                <w:sz w:val="24"/>
                <w:szCs w:val="24"/>
              </w:rPr>
              <w:t>1</w:t>
            </w:r>
            <w:r>
              <w:rPr>
                <w:rFonts w:hint="eastAsia" w:ascii="仿宋_GB2312" w:hAnsi="仿宋_GB2312" w:eastAsia="仿宋_GB2312" w:cs="仿宋_GB2312"/>
                <w:color w:val="auto"/>
                <w:spacing w:val="-27"/>
                <w:sz w:val="24"/>
                <w:szCs w:val="24"/>
              </w:rPr>
              <w:t>个</w:t>
            </w:r>
          </w:p>
        </w:tc>
        <w:tc>
          <w:tcPr>
            <w:tcW w:w="1775" w:type="dxa"/>
            <w:vMerge w:val="restart"/>
            <w:vAlign w:val="center"/>
          </w:tcPr>
          <w:p>
            <w:pPr>
              <w:spacing w:before="172" w:line="624" w:lineRule="exact"/>
              <w:ind w:left="196"/>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平安建设办</w:t>
            </w:r>
          </w:p>
        </w:tc>
        <w:tc>
          <w:tcPr>
            <w:tcW w:w="1437" w:type="dxa"/>
            <w:vMerge w:val="restart"/>
            <w:vAlign w:val="center"/>
          </w:tcPr>
          <w:p>
            <w:pPr>
              <w:spacing w:before="91"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6115</w:t>
            </w:r>
            <w:r>
              <w:rPr>
                <w:rFonts w:hint="eastAsia" w:ascii="仿宋_GB2312" w:hAnsi="仿宋_GB2312" w:eastAsia="仿宋_GB2312" w:cs="仿宋_GB2312"/>
                <w:color w:val="auto"/>
                <w:spacing w:val="-1"/>
                <w:sz w:val="24"/>
                <w:szCs w:val="24"/>
              </w:rPr>
              <w:t>381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1" w:line="181" w:lineRule="auto"/>
              <w:ind w:left="32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675" w:type="dxa"/>
            <w:vAlign w:val="top"/>
          </w:tcPr>
          <w:p>
            <w:pPr>
              <w:spacing w:before="173" w:line="224" w:lineRule="auto"/>
              <w:ind w:left="12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锹</w:t>
            </w:r>
            <w:r>
              <w:rPr>
                <w:rFonts w:hint="eastAsia" w:ascii="仿宋_GB2312" w:hAnsi="仿宋_GB2312" w:eastAsia="仿宋_GB2312" w:cs="仿宋_GB2312"/>
                <w:color w:val="auto"/>
                <w:spacing w:val="-8"/>
                <w:sz w:val="24"/>
                <w:szCs w:val="24"/>
              </w:rPr>
              <w:t>头</w:t>
            </w:r>
          </w:p>
        </w:tc>
        <w:tc>
          <w:tcPr>
            <w:tcW w:w="1863" w:type="dxa"/>
            <w:vAlign w:val="top"/>
          </w:tcPr>
          <w:p>
            <w:pPr>
              <w:spacing w:before="172" w:line="224" w:lineRule="auto"/>
              <w:ind w:left="118" w:firstLine="186" w:firstLineChars="1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7"/>
                <w:sz w:val="24"/>
                <w:szCs w:val="24"/>
              </w:rPr>
              <w:t>6袋</w:t>
            </w:r>
            <w:r>
              <w:rPr>
                <w:rFonts w:hint="eastAsia" w:ascii="仿宋_GB2312" w:hAnsi="仿宋_GB2312" w:eastAsia="仿宋_GB2312" w:cs="仿宋_GB2312"/>
                <w:color w:val="auto"/>
                <w:spacing w:val="-27"/>
                <w:sz w:val="24"/>
                <w:szCs w:val="24"/>
                <w:lang w:val="en-US" w:eastAsia="zh-CN"/>
              </w:rPr>
              <w:t>*</w:t>
            </w:r>
            <w:r>
              <w:rPr>
                <w:rFonts w:hint="eastAsia" w:ascii="仿宋_GB2312" w:hAnsi="仿宋_GB2312" w:eastAsia="仿宋_GB2312" w:cs="仿宋_GB2312"/>
                <w:color w:val="auto"/>
                <w:spacing w:val="-27"/>
                <w:sz w:val="24"/>
                <w:szCs w:val="24"/>
              </w:rPr>
              <w:t>12个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0" w:line="181" w:lineRule="auto"/>
              <w:ind w:left="3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675" w:type="dxa"/>
            <w:vAlign w:val="top"/>
          </w:tcPr>
          <w:p>
            <w:pPr>
              <w:spacing w:before="173" w:line="225" w:lineRule="auto"/>
              <w:ind w:left="130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3"/>
                <w:sz w:val="24"/>
                <w:szCs w:val="24"/>
              </w:rPr>
              <w:t>镐</w:t>
            </w:r>
            <w:r>
              <w:rPr>
                <w:rFonts w:hint="eastAsia" w:ascii="仿宋_GB2312" w:hAnsi="仿宋_GB2312" w:eastAsia="仿宋_GB2312" w:cs="仿宋_GB2312"/>
                <w:color w:val="auto"/>
                <w:spacing w:val="-11"/>
                <w:sz w:val="24"/>
                <w:szCs w:val="24"/>
              </w:rPr>
              <w:t>把</w:t>
            </w:r>
          </w:p>
        </w:tc>
        <w:tc>
          <w:tcPr>
            <w:tcW w:w="1863" w:type="dxa"/>
            <w:vAlign w:val="top"/>
          </w:tcPr>
          <w:p>
            <w:pPr>
              <w:spacing w:before="172" w:line="222" w:lineRule="auto"/>
              <w:ind w:left="396"/>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1</w:t>
            </w:r>
            <w:r>
              <w:rPr>
                <w:rFonts w:hint="eastAsia" w:ascii="仿宋_GB2312" w:hAnsi="仿宋_GB2312" w:eastAsia="仿宋_GB2312" w:cs="仿宋_GB2312"/>
                <w:color w:val="auto"/>
                <w:spacing w:val="-15"/>
                <w:sz w:val="24"/>
                <w:szCs w:val="24"/>
              </w:rPr>
              <w:t>00根</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76" w:type="dxa"/>
            <w:vAlign w:val="top"/>
          </w:tcPr>
          <w:p>
            <w:pPr>
              <w:spacing w:before="220" w:line="181" w:lineRule="auto"/>
              <w:ind w:left="32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675" w:type="dxa"/>
            <w:vAlign w:val="top"/>
          </w:tcPr>
          <w:p>
            <w:pPr>
              <w:spacing w:before="172" w:line="223" w:lineRule="auto"/>
              <w:ind w:left="129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863" w:type="dxa"/>
            <w:vAlign w:val="top"/>
          </w:tcPr>
          <w:p>
            <w:pPr>
              <w:spacing w:before="171" w:line="224" w:lineRule="auto"/>
              <w:ind w:left="5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6</w:t>
            </w:r>
            <w:r>
              <w:rPr>
                <w:rFonts w:hint="eastAsia" w:ascii="仿宋_GB2312" w:hAnsi="仿宋_GB2312" w:eastAsia="仿宋_GB2312" w:cs="仿宋_GB2312"/>
                <w:color w:val="auto"/>
                <w:spacing w:val="-21"/>
                <w:sz w:val="24"/>
                <w:szCs w:val="24"/>
              </w:rPr>
              <w:t>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6" w:line="179" w:lineRule="auto"/>
              <w:ind w:left="3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675" w:type="dxa"/>
            <w:vAlign w:val="top"/>
          </w:tcPr>
          <w:p>
            <w:pPr>
              <w:spacing w:before="176" w:line="224" w:lineRule="auto"/>
              <w:ind w:left="104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2</w:t>
            </w:r>
            <w:r>
              <w:rPr>
                <w:rFonts w:hint="eastAsia" w:ascii="仿宋_GB2312" w:hAnsi="仿宋_GB2312" w:eastAsia="仿宋_GB2312" w:cs="仿宋_GB2312"/>
                <w:color w:val="auto"/>
                <w:spacing w:val="-16"/>
                <w:sz w:val="24"/>
                <w:szCs w:val="24"/>
              </w:rPr>
              <w:t>号工具</w:t>
            </w:r>
          </w:p>
        </w:tc>
        <w:tc>
          <w:tcPr>
            <w:tcW w:w="1863" w:type="dxa"/>
            <w:vAlign w:val="top"/>
          </w:tcPr>
          <w:p>
            <w:pPr>
              <w:spacing w:before="174" w:line="224" w:lineRule="auto"/>
              <w:ind w:left="4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0"/>
                <w:sz w:val="24"/>
                <w:szCs w:val="24"/>
              </w:rPr>
              <w:t>3个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3" w:line="181" w:lineRule="auto"/>
              <w:ind w:left="32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675" w:type="dxa"/>
            <w:vAlign w:val="top"/>
          </w:tcPr>
          <w:p>
            <w:pPr>
              <w:spacing w:before="174" w:line="224" w:lineRule="auto"/>
              <w:ind w:left="129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水泵</w:t>
            </w:r>
          </w:p>
        </w:tc>
        <w:tc>
          <w:tcPr>
            <w:tcW w:w="1863" w:type="dxa"/>
            <w:vAlign w:val="top"/>
          </w:tcPr>
          <w:p>
            <w:pPr>
              <w:spacing w:before="174" w:line="222" w:lineRule="auto"/>
              <w:ind w:left="5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2</w:t>
            </w:r>
            <w:r>
              <w:rPr>
                <w:rFonts w:hint="eastAsia" w:ascii="仿宋_GB2312" w:hAnsi="仿宋_GB2312" w:eastAsia="仿宋_GB2312" w:cs="仿宋_GB2312"/>
                <w:color w:val="auto"/>
                <w:spacing w:val="-13"/>
                <w:sz w:val="24"/>
                <w:szCs w:val="24"/>
              </w:rPr>
              <w:t>台</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76" w:type="dxa"/>
            <w:vAlign w:val="top"/>
          </w:tcPr>
          <w:p>
            <w:pPr>
              <w:spacing w:before="225" w:line="179" w:lineRule="auto"/>
              <w:ind w:left="33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675" w:type="dxa"/>
            <w:vAlign w:val="top"/>
          </w:tcPr>
          <w:p>
            <w:pPr>
              <w:spacing w:before="175" w:line="224" w:lineRule="auto"/>
              <w:ind w:left="1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铁</w:t>
            </w:r>
            <w:r>
              <w:rPr>
                <w:rFonts w:hint="eastAsia" w:ascii="仿宋_GB2312" w:hAnsi="仿宋_GB2312" w:eastAsia="仿宋_GB2312" w:cs="仿宋_GB2312"/>
                <w:color w:val="auto"/>
                <w:spacing w:val="-10"/>
                <w:sz w:val="24"/>
                <w:szCs w:val="24"/>
              </w:rPr>
              <w:t>丝</w:t>
            </w:r>
          </w:p>
        </w:tc>
        <w:tc>
          <w:tcPr>
            <w:tcW w:w="1863" w:type="dxa"/>
            <w:vAlign w:val="top"/>
          </w:tcPr>
          <w:p>
            <w:pPr>
              <w:spacing w:before="174" w:line="224" w:lineRule="auto"/>
              <w:ind w:left="52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3</w:t>
            </w:r>
            <w:r>
              <w:rPr>
                <w:rFonts w:hint="eastAsia" w:ascii="仿宋_GB2312" w:hAnsi="仿宋_GB2312" w:eastAsia="仿宋_GB2312" w:cs="仿宋_GB2312"/>
                <w:color w:val="auto"/>
                <w:spacing w:val="-12"/>
                <w:sz w:val="24"/>
                <w:szCs w:val="24"/>
              </w:rPr>
              <w:t>圈</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3" w:line="181" w:lineRule="auto"/>
              <w:ind w:left="32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2675" w:type="dxa"/>
            <w:vAlign w:val="top"/>
          </w:tcPr>
          <w:p>
            <w:pPr>
              <w:spacing w:before="175" w:line="224" w:lineRule="auto"/>
              <w:ind w:left="115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救援绳</w:t>
            </w:r>
          </w:p>
        </w:tc>
        <w:tc>
          <w:tcPr>
            <w:tcW w:w="1863" w:type="dxa"/>
            <w:vAlign w:val="top"/>
          </w:tcPr>
          <w:p>
            <w:pPr>
              <w:spacing w:before="175" w:line="225" w:lineRule="auto"/>
              <w:ind w:left="51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1"/>
                <w:sz w:val="24"/>
                <w:szCs w:val="24"/>
              </w:rPr>
              <w:t>4</w:t>
            </w:r>
            <w:r>
              <w:rPr>
                <w:rFonts w:hint="eastAsia" w:ascii="仿宋_GB2312" w:hAnsi="仿宋_GB2312" w:eastAsia="仿宋_GB2312" w:cs="仿宋_GB2312"/>
                <w:color w:val="auto"/>
                <w:spacing w:val="-20"/>
                <w:sz w:val="24"/>
                <w:szCs w:val="24"/>
              </w:rPr>
              <w:t>捆</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2" w:line="181" w:lineRule="auto"/>
              <w:ind w:left="32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675" w:type="dxa"/>
            <w:vAlign w:val="top"/>
          </w:tcPr>
          <w:p>
            <w:pPr>
              <w:spacing w:before="175" w:line="224" w:lineRule="auto"/>
              <w:ind w:left="10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PVC</w:t>
            </w:r>
            <w:r>
              <w:rPr>
                <w:rFonts w:hint="eastAsia" w:ascii="仿宋_GB2312" w:hAnsi="仿宋_GB2312" w:eastAsia="仿宋_GB2312" w:cs="仿宋_GB2312"/>
                <w:color w:val="auto"/>
                <w:spacing w:val="-15"/>
                <w:sz w:val="24"/>
                <w:szCs w:val="24"/>
              </w:rPr>
              <w:t xml:space="preserve"> </w:t>
            </w:r>
            <w:r>
              <w:rPr>
                <w:rFonts w:hint="eastAsia" w:ascii="仿宋_GB2312" w:hAnsi="仿宋_GB2312" w:eastAsia="仿宋_GB2312" w:cs="仿宋_GB2312"/>
                <w:color w:val="auto"/>
                <w:spacing w:val="-12"/>
                <w:sz w:val="24"/>
                <w:szCs w:val="24"/>
              </w:rPr>
              <w:t>软管</w:t>
            </w:r>
          </w:p>
        </w:tc>
        <w:tc>
          <w:tcPr>
            <w:tcW w:w="1863" w:type="dxa"/>
            <w:vAlign w:val="top"/>
          </w:tcPr>
          <w:p>
            <w:pPr>
              <w:spacing w:before="174" w:line="222" w:lineRule="auto"/>
              <w:ind w:left="5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1"/>
                <w:sz w:val="24"/>
                <w:szCs w:val="24"/>
              </w:rPr>
              <w:t>根</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76" w:type="dxa"/>
            <w:vAlign w:val="top"/>
          </w:tcPr>
          <w:p>
            <w:pPr>
              <w:spacing w:before="222"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0</w:t>
            </w:r>
          </w:p>
        </w:tc>
        <w:tc>
          <w:tcPr>
            <w:tcW w:w="2675" w:type="dxa"/>
            <w:vAlign w:val="top"/>
          </w:tcPr>
          <w:p>
            <w:pPr>
              <w:spacing w:before="174" w:line="221" w:lineRule="auto"/>
              <w:ind w:left="123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消</w:t>
            </w:r>
            <w:r>
              <w:rPr>
                <w:rFonts w:hint="eastAsia" w:ascii="仿宋_GB2312" w:hAnsi="仿宋_GB2312" w:eastAsia="仿宋_GB2312" w:cs="仿宋_GB2312"/>
                <w:color w:val="auto"/>
                <w:spacing w:val="-6"/>
                <w:sz w:val="24"/>
                <w:szCs w:val="24"/>
              </w:rPr>
              <w:t>防水带</w:t>
            </w:r>
          </w:p>
        </w:tc>
        <w:tc>
          <w:tcPr>
            <w:tcW w:w="1863" w:type="dxa"/>
            <w:vAlign w:val="top"/>
          </w:tcPr>
          <w:p>
            <w:pPr>
              <w:spacing w:before="175" w:line="224" w:lineRule="auto"/>
              <w:ind w:left="51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4</w:t>
            </w:r>
            <w:r>
              <w:rPr>
                <w:rFonts w:hint="eastAsia" w:ascii="仿宋_GB2312" w:hAnsi="仿宋_GB2312" w:eastAsia="仿宋_GB2312" w:cs="仿宋_GB2312"/>
                <w:color w:val="auto"/>
                <w:spacing w:val="-18"/>
                <w:sz w:val="24"/>
                <w:szCs w:val="24"/>
              </w:rPr>
              <w:t>袋</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5"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1</w:t>
            </w:r>
          </w:p>
        </w:tc>
        <w:tc>
          <w:tcPr>
            <w:tcW w:w="2675" w:type="dxa"/>
            <w:vAlign w:val="top"/>
          </w:tcPr>
          <w:p>
            <w:pPr>
              <w:spacing w:before="176" w:line="224" w:lineRule="auto"/>
              <w:ind w:left="12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雨</w:t>
            </w:r>
            <w:r>
              <w:rPr>
                <w:rFonts w:hint="eastAsia" w:ascii="仿宋_GB2312" w:hAnsi="仿宋_GB2312" w:eastAsia="仿宋_GB2312" w:cs="仿宋_GB2312"/>
                <w:color w:val="auto"/>
                <w:spacing w:val="-8"/>
                <w:sz w:val="24"/>
                <w:szCs w:val="24"/>
              </w:rPr>
              <w:t>鞋</w:t>
            </w:r>
          </w:p>
        </w:tc>
        <w:tc>
          <w:tcPr>
            <w:tcW w:w="1863" w:type="dxa"/>
            <w:vAlign w:val="top"/>
          </w:tcPr>
          <w:p>
            <w:pPr>
              <w:spacing w:before="177" w:line="229" w:lineRule="auto"/>
              <w:ind w:left="4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1"/>
                <w:sz w:val="24"/>
                <w:szCs w:val="24"/>
              </w:rPr>
              <w:t>6双</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5"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2</w:t>
            </w:r>
          </w:p>
        </w:tc>
        <w:tc>
          <w:tcPr>
            <w:tcW w:w="2675" w:type="dxa"/>
            <w:vAlign w:val="top"/>
          </w:tcPr>
          <w:p>
            <w:pPr>
              <w:spacing w:before="177" w:line="225" w:lineRule="auto"/>
              <w:ind w:left="12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雨</w:t>
            </w:r>
            <w:r>
              <w:rPr>
                <w:rFonts w:hint="eastAsia" w:ascii="仿宋_GB2312" w:hAnsi="仿宋_GB2312" w:eastAsia="仿宋_GB2312" w:cs="仿宋_GB2312"/>
                <w:color w:val="auto"/>
                <w:spacing w:val="-8"/>
                <w:sz w:val="24"/>
                <w:szCs w:val="24"/>
              </w:rPr>
              <w:t>衣</w:t>
            </w:r>
          </w:p>
        </w:tc>
        <w:tc>
          <w:tcPr>
            <w:tcW w:w="1863" w:type="dxa"/>
            <w:vAlign w:val="top"/>
          </w:tcPr>
          <w:p>
            <w:pPr>
              <w:spacing w:before="176" w:line="223" w:lineRule="auto"/>
              <w:ind w:left="51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8</w:t>
            </w:r>
            <w:r>
              <w:rPr>
                <w:rFonts w:hint="eastAsia" w:ascii="仿宋_GB2312" w:hAnsi="仿宋_GB2312" w:eastAsia="仿宋_GB2312" w:cs="仿宋_GB2312"/>
                <w:color w:val="auto"/>
                <w:spacing w:val="-21"/>
                <w:sz w:val="24"/>
                <w:szCs w:val="24"/>
              </w:rPr>
              <w:t>件</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4"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3</w:t>
            </w:r>
          </w:p>
        </w:tc>
        <w:tc>
          <w:tcPr>
            <w:tcW w:w="2675" w:type="dxa"/>
            <w:vAlign w:val="top"/>
          </w:tcPr>
          <w:p>
            <w:pPr>
              <w:spacing w:before="177" w:line="224" w:lineRule="auto"/>
              <w:ind w:left="89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防</w:t>
            </w:r>
            <w:r>
              <w:rPr>
                <w:rFonts w:hint="eastAsia" w:ascii="仿宋_GB2312" w:hAnsi="仿宋_GB2312" w:eastAsia="仿宋_GB2312" w:cs="仿宋_GB2312"/>
                <w:color w:val="auto"/>
                <w:spacing w:val="-7"/>
                <w:sz w:val="24"/>
                <w:szCs w:val="24"/>
              </w:rPr>
              <w:t>洪编织袋</w:t>
            </w:r>
          </w:p>
        </w:tc>
        <w:tc>
          <w:tcPr>
            <w:tcW w:w="1863" w:type="dxa"/>
            <w:vAlign w:val="top"/>
          </w:tcPr>
          <w:p>
            <w:pPr>
              <w:spacing w:before="177" w:line="232" w:lineRule="auto"/>
              <w:ind w:left="51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9</w:t>
            </w:r>
            <w:r>
              <w:rPr>
                <w:rFonts w:hint="eastAsia" w:ascii="仿宋_GB2312" w:hAnsi="仿宋_GB2312" w:eastAsia="仿宋_GB2312" w:cs="仿宋_GB2312"/>
                <w:color w:val="auto"/>
                <w:spacing w:val="-17"/>
                <w:sz w:val="24"/>
                <w:szCs w:val="24"/>
              </w:rPr>
              <w:t>包</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4"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4</w:t>
            </w:r>
          </w:p>
        </w:tc>
        <w:tc>
          <w:tcPr>
            <w:tcW w:w="2675" w:type="dxa"/>
            <w:vAlign w:val="top"/>
          </w:tcPr>
          <w:p>
            <w:pPr>
              <w:spacing w:before="175" w:line="224" w:lineRule="auto"/>
              <w:ind w:left="1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手</w:t>
            </w:r>
            <w:r>
              <w:rPr>
                <w:rFonts w:hint="eastAsia" w:ascii="仿宋_GB2312" w:hAnsi="仿宋_GB2312" w:eastAsia="仿宋_GB2312" w:cs="仿宋_GB2312"/>
                <w:color w:val="auto"/>
                <w:spacing w:val="-10"/>
                <w:sz w:val="24"/>
                <w:szCs w:val="24"/>
              </w:rPr>
              <w:t>电</w:t>
            </w:r>
          </w:p>
        </w:tc>
        <w:tc>
          <w:tcPr>
            <w:tcW w:w="1863" w:type="dxa"/>
            <w:vAlign w:val="top"/>
          </w:tcPr>
          <w:p>
            <w:pPr>
              <w:spacing w:before="175" w:line="224" w:lineRule="auto"/>
              <w:ind w:left="51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1"/>
                <w:sz w:val="24"/>
                <w:szCs w:val="24"/>
              </w:rPr>
              <w:t>9个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3"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5</w:t>
            </w:r>
          </w:p>
        </w:tc>
        <w:tc>
          <w:tcPr>
            <w:tcW w:w="2675" w:type="dxa"/>
            <w:vAlign w:val="top"/>
          </w:tcPr>
          <w:p>
            <w:pPr>
              <w:spacing w:before="175" w:line="224" w:lineRule="auto"/>
              <w:ind w:left="115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水</w:t>
            </w:r>
            <w:r>
              <w:rPr>
                <w:rFonts w:hint="eastAsia" w:ascii="仿宋_GB2312" w:hAnsi="仿宋_GB2312" w:eastAsia="仿宋_GB2312" w:cs="仿宋_GB2312"/>
                <w:color w:val="auto"/>
                <w:spacing w:val="-5"/>
                <w:sz w:val="24"/>
                <w:szCs w:val="24"/>
              </w:rPr>
              <w:t>泵头</w:t>
            </w:r>
          </w:p>
        </w:tc>
        <w:tc>
          <w:tcPr>
            <w:tcW w:w="1863" w:type="dxa"/>
            <w:vAlign w:val="top"/>
          </w:tcPr>
          <w:p>
            <w:pPr>
              <w:spacing w:before="175" w:line="224" w:lineRule="auto"/>
              <w:ind w:left="523"/>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5"/>
                <w:sz w:val="24"/>
                <w:szCs w:val="24"/>
              </w:rPr>
              <w:t>7</w:t>
            </w:r>
            <w:r>
              <w:rPr>
                <w:rFonts w:hint="eastAsia" w:ascii="仿宋_GB2312" w:hAnsi="仿宋_GB2312" w:eastAsia="仿宋_GB2312" w:cs="仿宋_GB2312"/>
                <w:color w:val="auto"/>
                <w:spacing w:val="-22"/>
                <w:sz w:val="24"/>
                <w:szCs w:val="24"/>
              </w:rPr>
              <w:t>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76" w:type="dxa"/>
            <w:vAlign w:val="top"/>
          </w:tcPr>
          <w:p>
            <w:pPr>
              <w:spacing w:before="223"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6</w:t>
            </w:r>
          </w:p>
        </w:tc>
        <w:tc>
          <w:tcPr>
            <w:tcW w:w="2675" w:type="dxa"/>
            <w:vAlign w:val="top"/>
          </w:tcPr>
          <w:p>
            <w:pPr>
              <w:spacing w:before="175" w:line="223" w:lineRule="auto"/>
              <w:ind w:left="8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水</w:t>
            </w:r>
            <w:r>
              <w:rPr>
                <w:rFonts w:hint="eastAsia" w:ascii="仿宋_GB2312" w:hAnsi="仿宋_GB2312" w:eastAsia="仿宋_GB2312" w:cs="仿宋_GB2312"/>
                <w:color w:val="auto"/>
                <w:spacing w:val="-3"/>
                <w:sz w:val="24"/>
                <w:szCs w:val="24"/>
              </w:rPr>
              <w:t>泵排风头</w:t>
            </w:r>
          </w:p>
        </w:tc>
        <w:tc>
          <w:tcPr>
            <w:tcW w:w="1863" w:type="dxa"/>
            <w:vAlign w:val="top"/>
          </w:tcPr>
          <w:p>
            <w:pPr>
              <w:spacing w:before="174" w:line="224" w:lineRule="auto"/>
              <w:ind w:left="5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1"/>
                <w:sz w:val="24"/>
                <w:szCs w:val="24"/>
              </w:rPr>
              <w:t>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76" w:type="dxa"/>
            <w:vAlign w:val="top"/>
          </w:tcPr>
          <w:p>
            <w:pPr>
              <w:spacing w:before="225" w:line="181" w:lineRule="auto"/>
              <w:ind w:left="27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5"/>
                <w:sz w:val="24"/>
                <w:szCs w:val="24"/>
              </w:rPr>
              <w:t>1</w:t>
            </w:r>
            <w:r>
              <w:rPr>
                <w:rFonts w:hint="eastAsia" w:ascii="仿宋_GB2312" w:hAnsi="仿宋_GB2312" w:eastAsia="仿宋_GB2312" w:cs="仿宋_GB2312"/>
                <w:color w:val="auto"/>
                <w:spacing w:val="-14"/>
                <w:sz w:val="24"/>
                <w:szCs w:val="24"/>
              </w:rPr>
              <w:t>7</w:t>
            </w:r>
          </w:p>
        </w:tc>
        <w:tc>
          <w:tcPr>
            <w:tcW w:w="2675" w:type="dxa"/>
            <w:vAlign w:val="top"/>
          </w:tcPr>
          <w:p>
            <w:pPr>
              <w:spacing w:before="177" w:line="223" w:lineRule="auto"/>
              <w:ind w:left="1015"/>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水</w:t>
            </w:r>
            <w:r>
              <w:rPr>
                <w:rFonts w:hint="eastAsia" w:ascii="仿宋_GB2312" w:hAnsi="仿宋_GB2312" w:eastAsia="仿宋_GB2312" w:cs="仿宋_GB2312"/>
                <w:color w:val="auto"/>
                <w:spacing w:val="-4"/>
                <w:sz w:val="24"/>
                <w:szCs w:val="24"/>
              </w:rPr>
              <w:t>泵卡子</w:t>
            </w:r>
          </w:p>
        </w:tc>
        <w:tc>
          <w:tcPr>
            <w:tcW w:w="1863" w:type="dxa"/>
            <w:vAlign w:val="top"/>
          </w:tcPr>
          <w:p>
            <w:pPr>
              <w:spacing w:before="176" w:line="224" w:lineRule="auto"/>
              <w:ind w:left="4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1</w:t>
            </w:r>
            <w:r>
              <w:rPr>
                <w:rFonts w:hint="eastAsia" w:ascii="仿宋_GB2312" w:hAnsi="仿宋_GB2312" w:eastAsia="仿宋_GB2312" w:cs="仿宋_GB2312"/>
                <w:color w:val="auto"/>
                <w:spacing w:val="-20"/>
                <w:sz w:val="24"/>
                <w:szCs w:val="24"/>
              </w:rPr>
              <w:t>1个</w:t>
            </w:r>
          </w:p>
        </w:tc>
        <w:tc>
          <w:tcPr>
            <w:tcW w:w="1775" w:type="dxa"/>
            <w:vMerge w:val="continue"/>
            <w:vAlign w:val="top"/>
          </w:tcPr>
          <w:p>
            <w:pPr>
              <w:rPr>
                <w:rFonts w:hint="eastAsia" w:ascii="仿宋_GB2312" w:hAnsi="仿宋_GB2312" w:eastAsia="仿宋_GB2312" w:cs="仿宋_GB2312"/>
                <w:color w:val="auto"/>
                <w:sz w:val="24"/>
                <w:szCs w:val="24"/>
              </w:rPr>
            </w:pPr>
          </w:p>
        </w:tc>
        <w:tc>
          <w:tcPr>
            <w:tcW w:w="1437" w:type="dxa"/>
            <w:vMerge w:val="continue"/>
            <w:vAlign w:val="top"/>
          </w:tcPr>
          <w:p>
            <w:pPr>
              <w:rPr>
                <w:rFonts w:hint="eastAsia" w:ascii="仿宋_GB2312" w:hAnsi="仿宋_GB2312" w:eastAsia="仿宋_GB2312" w:cs="仿宋_GB2312"/>
                <w:color w:val="auto"/>
                <w:sz w:val="24"/>
                <w:szCs w:val="24"/>
              </w:rPr>
            </w:pPr>
          </w:p>
        </w:tc>
      </w:tr>
    </w:tbl>
    <w:p>
      <w:pPr>
        <w:rPr>
          <w:rFonts w:ascii="Arial"/>
          <w:color w:val="auto"/>
          <w:sz w:val="21"/>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成办各村配备防火用具登记表</w:t>
      </w:r>
    </w:p>
    <w:p>
      <w:pPr>
        <w:spacing w:line="145" w:lineRule="auto"/>
        <w:rPr>
          <w:rFonts w:ascii="Arial"/>
          <w:color w:val="auto"/>
          <w:sz w:val="2"/>
        </w:rPr>
      </w:pPr>
    </w:p>
    <w:tbl>
      <w:tblPr>
        <w:tblStyle w:val="2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1"/>
        <w:gridCol w:w="2305"/>
        <w:gridCol w:w="3666"/>
        <w:gridCol w:w="17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41" w:type="dxa"/>
            <w:vAlign w:val="top"/>
          </w:tcPr>
          <w:p>
            <w:pPr>
              <w:spacing w:before="177" w:line="223" w:lineRule="auto"/>
              <w:ind w:left="155"/>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9"/>
                <w:sz w:val="24"/>
                <w:szCs w:val="24"/>
              </w:rPr>
              <w:t>序</w:t>
            </w:r>
            <w:r>
              <w:rPr>
                <w:rFonts w:hint="eastAsia" w:ascii="仿宋_GB2312" w:hAnsi="仿宋_GB2312" w:eastAsia="仿宋_GB2312" w:cs="仿宋_GB2312"/>
                <w:b/>
                <w:bCs/>
                <w:color w:val="auto"/>
                <w:spacing w:val="-8"/>
                <w:sz w:val="24"/>
                <w:szCs w:val="24"/>
              </w:rPr>
              <w:t>号</w:t>
            </w:r>
          </w:p>
        </w:tc>
        <w:tc>
          <w:tcPr>
            <w:tcW w:w="2305" w:type="dxa"/>
            <w:vAlign w:val="top"/>
          </w:tcPr>
          <w:p>
            <w:pPr>
              <w:spacing w:before="177" w:line="222" w:lineRule="auto"/>
              <w:ind w:left="815"/>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pacing w:val="1"/>
                <w:sz w:val="24"/>
                <w:szCs w:val="24"/>
                <w:lang w:val="en-US" w:eastAsia="zh-CN"/>
              </w:rPr>
              <w:t>存放地点</w:t>
            </w:r>
          </w:p>
        </w:tc>
        <w:tc>
          <w:tcPr>
            <w:tcW w:w="3666" w:type="dxa"/>
            <w:vAlign w:val="top"/>
          </w:tcPr>
          <w:p>
            <w:pPr>
              <w:spacing w:before="176" w:line="222" w:lineRule="auto"/>
              <w:ind w:left="1028"/>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防火工具名称</w:t>
            </w:r>
          </w:p>
        </w:tc>
        <w:tc>
          <w:tcPr>
            <w:tcW w:w="1714" w:type="dxa"/>
            <w:vAlign w:val="top"/>
          </w:tcPr>
          <w:p>
            <w:pPr>
              <w:spacing w:before="176" w:line="224" w:lineRule="auto"/>
              <w:ind w:left="59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8"/>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restart"/>
            <w:vAlign w:val="center"/>
          </w:tcPr>
          <w:p>
            <w:pPr>
              <w:spacing w:before="220" w:line="181" w:lineRule="auto"/>
              <w:ind w:left="378"/>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305" w:type="dxa"/>
            <w:vMerge w:val="restart"/>
            <w:vAlign w:val="center"/>
          </w:tcPr>
          <w:p>
            <w:pPr>
              <w:spacing w:before="173" w:line="2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7"/>
                <w:sz w:val="24"/>
                <w:szCs w:val="24"/>
              </w:rPr>
              <w:t>讨</w:t>
            </w:r>
            <w:r>
              <w:rPr>
                <w:rFonts w:hint="eastAsia" w:ascii="仿宋_GB2312" w:hAnsi="仿宋_GB2312" w:eastAsia="仿宋_GB2312" w:cs="仿宋_GB2312"/>
                <w:color w:val="auto"/>
                <w:spacing w:val="-6"/>
                <w:sz w:val="24"/>
                <w:szCs w:val="24"/>
              </w:rPr>
              <w:t>思浩</w:t>
            </w:r>
            <w:r>
              <w:rPr>
                <w:rFonts w:hint="eastAsia" w:ascii="仿宋_GB2312" w:hAnsi="仿宋_GB2312" w:eastAsia="仿宋_GB2312" w:cs="仿宋_GB2312"/>
                <w:color w:val="auto"/>
                <w:spacing w:val="-6"/>
                <w:sz w:val="24"/>
                <w:szCs w:val="24"/>
                <w:lang w:val="en-US" w:eastAsia="zh-CN"/>
              </w:rPr>
              <w:t>村</w:t>
            </w:r>
          </w:p>
        </w:tc>
        <w:tc>
          <w:tcPr>
            <w:tcW w:w="3666" w:type="dxa"/>
            <w:vAlign w:val="top"/>
          </w:tcPr>
          <w:p>
            <w:pPr>
              <w:spacing w:before="172" w:line="223" w:lineRule="auto"/>
              <w:ind w:left="15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714" w:type="dxa"/>
            <w:vAlign w:val="top"/>
          </w:tcPr>
          <w:p>
            <w:pPr>
              <w:spacing w:before="171" w:line="222"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12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3" w:line="224" w:lineRule="auto"/>
              <w:ind w:left="13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号工具</w:t>
            </w:r>
          </w:p>
        </w:tc>
        <w:tc>
          <w:tcPr>
            <w:tcW w:w="1714" w:type="dxa"/>
            <w:vAlign w:val="top"/>
          </w:tcPr>
          <w:p>
            <w:pPr>
              <w:spacing w:before="173"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2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2" w:line="224" w:lineRule="auto"/>
              <w:ind w:left="14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灭火器</w:t>
            </w:r>
          </w:p>
        </w:tc>
        <w:tc>
          <w:tcPr>
            <w:tcW w:w="1714" w:type="dxa"/>
            <w:vAlign w:val="top"/>
          </w:tcPr>
          <w:p>
            <w:pPr>
              <w:spacing w:before="172" w:line="224"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1"/>
                <w:sz w:val="24"/>
                <w:szCs w:val="24"/>
              </w:rPr>
              <w:t>1</w:t>
            </w:r>
            <w:r>
              <w:rPr>
                <w:rFonts w:hint="eastAsia" w:ascii="仿宋_GB2312" w:hAnsi="仿宋_GB2312" w:eastAsia="仿宋_GB2312" w:cs="仿宋_GB2312"/>
                <w:color w:val="auto"/>
                <w:spacing w:val="-20"/>
                <w:sz w:val="24"/>
                <w:szCs w:val="24"/>
              </w:rPr>
              <w:t>0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2" w:line="222"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扫帚</w:t>
            </w:r>
          </w:p>
        </w:tc>
        <w:tc>
          <w:tcPr>
            <w:tcW w:w="1714" w:type="dxa"/>
            <w:vAlign w:val="top"/>
          </w:tcPr>
          <w:p>
            <w:pPr>
              <w:spacing w:before="173"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6" w:line="224" w:lineRule="auto"/>
              <w:ind w:left="15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铁</w:t>
            </w:r>
            <w:r>
              <w:rPr>
                <w:rFonts w:hint="eastAsia" w:ascii="仿宋_GB2312" w:hAnsi="仿宋_GB2312" w:eastAsia="仿宋_GB2312" w:cs="仿宋_GB2312"/>
                <w:color w:val="auto"/>
                <w:spacing w:val="-10"/>
                <w:sz w:val="24"/>
                <w:szCs w:val="24"/>
              </w:rPr>
              <w:t>锹</w:t>
            </w:r>
          </w:p>
        </w:tc>
        <w:tc>
          <w:tcPr>
            <w:tcW w:w="1714" w:type="dxa"/>
            <w:vAlign w:val="top"/>
          </w:tcPr>
          <w:p>
            <w:pPr>
              <w:spacing w:before="175"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5" w:line="222" w:lineRule="auto"/>
              <w:ind w:left="62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1"/>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0" w:lineRule="auto"/>
              <w:ind w:left="143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6" w:line="222" w:lineRule="auto"/>
              <w:ind w:left="62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1"/>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restart"/>
            <w:vAlign w:val="center"/>
          </w:tcPr>
          <w:p>
            <w:pPr>
              <w:spacing w:before="223" w:line="181" w:lineRule="auto"/>
              <w:ind w:left="361"/>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305" w:type="dxa"/>
            <w:vMerge w:val="restart"/>
            <w:vAlign w:val="center"/>
          </w:tcPr>
          <w:p>
            <w:pPr>
              <w:spacing w:before="174" w:line="2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8"/>
                <w:sz w:val="24"/>
                <w:szCs w:val="24"/>
              </w:rPr>
              <w:t>乌兰不浪</w:t>
            </w:r>
            <w:r>
              <w:rPr>
                <w:rFonts w:hint="eastAsia" w:ascii="仿宋_GB2312" w:hAnsi="仿宋_GB2312" w:eastAsia="仿宋_GB2312" w:cs="仿宋_GB2312"/>
                <w:color w:val="auto"/>
                <w:spacing w:val="-8"/>
                <w:sz w:val="24"/>
                <w:szCs w:val="24"/>
                <w:lang w:val="en-US" w:eastAsia="zh-CN"/>
              </w:rPr>
              <w:t>村</w:t>
            </w:r>
          </w:p>
        </w:tc>
        <w:tc>
          <w:tcPr>
            <w:tcW w:w="3666" w:type="dxa"/>
            <w:vAlign w:val="top"/>
          </w:tcPr>
          <w:p>
            <w:pPr>
              <w:spacing w:before="175" w:line="223" w:lineRule="auto"/>
              <w:ind w:left="15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714" w:type="dxa"/>
            <w:vAlign w:val="top"/>
          </w:tcPr>
          <w:p>
            <w:pPr>
              <w:spacing w:before="174" w:line="222" w:lineRule="auto"/>
              <w:ind w:left="62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2</w:t>
            </w:r>
            <w:r>
              <w:rPr>
                <w:rFonts w:hint="eastAsia" w:ascii="仿宋_GB2312" w:hAnsi="仿宋_GB2312" w:eastAsia="仿宋_GB2312" w:cs="仿宋_GB2312"/>
                <w:color w:val="auto"/>
                <w:spacing w:val="-12"/>
                <w:sz w:val="24"/>
                <w:szCs w:val="24"/>
              </w:rPr>
              <w:t xml:space="preserve">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jc w:val="center"/>
              <w:rPr>
                <w:rFonts w:hint="eastAsia" w:ascii="仿宋_GB2312" w:hAnsi="仿宋_GB2312" w:eastAsia="仿宋_GB2312" w:cs="仿宋_GB2312"/>
                <w:color w:val="auto"/>
                <w:sz w:val="24"/>
                <w:szCs w:val="24"/>
              </w:rPr>
            </w:pPr>
          </w:p>
        </w:tc>
        <w:tc>
          <w:tcPr>
            <w:tcW w:w="3666" w:type="dxa"/>
            <w:vAlign w:val="top"/>
          </w:tcPr>
          <w:p>
            <w:pPr>
              <w:spacing w:before="174" w:line="224" w:lineRule="auto"/>
              <w:ind w:left="14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灭火器</w:t>
            </w:r>
          </w:p>
        </w:tc>
        <w:tc>
          <w:tcPr>
            <w:tcW w:w="1714" w:type="dxa"/>
            <w:vAlign w:val="top"/>
          </w:tcPr>
          <w:p>
            <w:pPr>
              <w:spacing w:before="174" w:line="224" w:lineRule="auto"/>
              <w:ind w:left="62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0"/>
                <w:sz w:val="24"/>
                <w:szCs w:val="24"/>
              </w:rPr>
              <w:t xml:space="preserve">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4" w:lineRule="auto"/>
              <w:ind w:left="15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铁</w:t>
            </w:r>
            <w:r>
              <w:rPr>
                <w:rFonts w:hint="eastAsia" w:ascii="仿宋_GB2312" w:hAnsi="仿宋_GB2312" w:eastAsia="仿宋_GB2312" w:cs="仿宋_GB2312"/>
                <w:color w:val="auto"/>
                <w:spacing w:val="-10"/>
                <w:sz w:val="24"/>
                <w:szCs w:val="24"/>
              </w:rPr>
              <w:t>锹</w:t>
            </w:r>
          </w:p>
        </w:tc>
        <w:tc>
          <w:tcPr>
            <w:tcW w:w="1714" w:type="dxa"/>
            <w:vAlign w:val="top"/>
          </w:tcPr>
          <w:p>
            <w:pPr>
              <w:spacing w:before="174"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2"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扫帚</w:t>
            </w:r>
          </w:p>
        </w:tc>
        <w:tc>
          <w:tcPr>
            <w:tcW w:w="1714" w:type="dxa"/>
            <w:vAlign w:val="top"/>
          </w:tcPr>
          <w:p>
            <w:pPr>
              <w:spacing w:before="176"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2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1" w:lineRule="auto"/>
              <w:ind w:left="129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灭</w:t>
            </w:r>
            <w:r>
              <w:rPr>
                <w:rFonts w:hint="eastAsia" w:ascii="仿宋_GB2312" w:hAnsi="仿宋_GB2312" w:eastAsia="仿宋_GB2312" w:cs="仿宋_GB2312"/>
                <w:color w:val="auto"/>
                <w:spacing w:val="-4"/>
                <w:sz w:val="24"/>
                <w:szCs w:val="24"/>
              </w:rPr>
              <w:t>火拖布</w:t>
            </w:r>
          </w:p>
        </w:tc>
        <w:tc>
          <w:tcPr>
            <w:tcW w:w="1714" w:type="dxa"/>
            <w:vAlign w:val="top"/>
          </w:tcPr>
          <w:p>
            <w:pPr>
              <w:spacing w:before="175" w:line="224" w:lineRule="auto"/>
              <w:ind w:left="6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1"/>
                <w:sz w:val="24"/>
                <w:szCs w:val="24"/>
              </w:rPr>
              <w:t>8</w:t>
            </w:r>
            <w:r>
              <w:rPr>
                <w:rFonts w:hint="eastAsia" w:ascii="仿宋_GB2312" w:hAnsi="仿宋_GB2312" w:eastAsia="仿宋_GB2312" w:cs="仿宋_GB2312"/>
                <w:color w:val="auto"/>
                <w:spacing w:val="-20"/>
                <w:sz w:val="24"/>
                <w:szCs w:val="24"/>
              </w:rPr>
              <w:t xml:space="preserve">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jc w:val="center"/>
              <w:rPr>
                <w:rFonts w:hint="eastAsia" w:ascii="仿宋_GB2312" w:hAnsi="仿宋_GB2312" w:eastAsia="仿宋_GB2312" w:cs="仿宋_GB2312"/>
                <w:color w:val="auto"/>
                <w:sz w:val="24"/>
                <w:szCs w:val="24"/>
              </w:rPr>
            </w:pPr>
          </w:p>
        </w:tc>
        <w:tc>
          <w:tcPr>
            <w:tcW w:w="3666" w:type="dxa"/>
            <w:vAlign w:val="top"/>
          </w:tcPr>
          <w:p>
            <w:pPr>
              <w:spacing w:before="176"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7"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restart"/>
            <w:vAlign w:val="center"/>
          </w:tcPr>
          <w:p>
            <w:pPr>
              <w:spacing w:before="224" w:line="181" w:lineRule="auto"/>
              <w:ind w:left="363"/>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305" w:type="dxa"/>
            <w:vMerge w:val="restart"/>
            <w:vAlign w:val="center"/>
          </w:tcPr>
          <w:p>
            <w:pPr>
              <w:spacing w:before="175" w:line="222"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4"/>
                <w:sz w:val="24"/>
                <w:szCs w:val="24"/>
              </w:rPr>
              <w:t>三</w:t>
            </w:r>
            <w:r>
              <w:rPr>
                <w:rFonts w:hint="eastAsia" w:ascii="仿宋_GB2312" w:hAnsi="仿宋_GB2312" w:eastAsia="仿宋_GB2312" w:cs="仿宋_GB2312"/>
                <w:color w:val="auto"/>
                <w:spacing w:val="-33"/>
                <w:sz w:val="24"/>
                <w:szCs w:val="24"/>
              </w:rPr>
              <w:t>卜树村</w:t>
            </w:r>
          </w:p>
        </w:tc>
        <w:tc>
          <w:tcPr>
            <w:tcW w:w="3666" w:type="dxa"/>
            <w:vAlign w:val="top"/>
          </w:tcPr>
          <w:p>
            <w:pPr>
              <w:spacing w:before="176" w:line="223" w:lineRule="auto"/>
              <w:ind w:left="15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714" w:type="dxa"/>
            <w:vAlign w:val="top"/>
          </w:tcPr>
          <w:p>
            <w:pPr>
              <w:spacing w:before="175" w:line="222" w:lineRule="auto"/>
              <w:ind w:left="6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4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6" w:line="224" w:lineRule="auto"/>
              <w:ind w:left="13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 xml:space="preserve"> 号工具</w:t>
            </w:r>
          </w:p>
        </w:tc>
        <w:tc>
          <w:tcPr>
            <w:tcW w:w="1714" w:type="dxa"/>
            <w:vAlign w:val="top"/>
          </w:tcPr>
          <w:p>
            <w:pPr>
              <w:spacing w:before="176" w:line="225" w:lineRule="auto"/>
              <w:ind w:left="55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4" w:line="224" w:lineRule="auto"/>
              <w:ind w:left="14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灭火器</w:t>
            </w:r>
          </w:p>
        </w:tc>
        <w:tc>
          <w:tcPr>
            <w:tcW w:w="1714" w:type="dxa"/>
            <w:vAlign w:val="top"/>
          </w:tcPr>
          <w:p>
            <w:pPr>
              <w:spacing w:before="174" w:line="224" w:lineRule="auto"/>
              <w:ind w:left="6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6</w:t>
            </w:r>
            <w:r>
              <w:rPr>
                <w:rFonts w:hint="eastAsia" w:ascii="仿宋_GB2312" w:hAnsi="仿宋_GB2312" w:eastAsia="仿宋_GB2312" w:cs="仿宋_GB2312"/>
                <w:color w:val="auto"/>
                <w:spacing w:val="-20"/>
                <w:sz w:val="24"/>
                <w:szCs w:val="24"/>
              </w:rPr>
              <w:t xml:space="preserve">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6" w:line="222" w:lineRule="auto"/>
              <w:ind w:left="14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竹</w:t>
            </w:r>
            <w:r>
              <w:rPr>
                <w:rFonts w:hint="eastAsia" w:ascii="仿宋_GB2312" w:hAnsi="仿宋_GB2312" w:eastAsia="仿宋_GB2312" w:cs="仿宋_GB2312"/>
                <w:color w:val="auto"/>
                <w:spacing w:val="-6"/>
                <w:sz w:val="24"/>
                <w:szCs w:val="24"/>
              </w:rPr>
              <w:t>扫帚</w:t>
            </w:r>
          </w:p>
        </w:tc>
        <w:tc>
          <w:tcPr>
            <w:tcW w:w="1714" w:type="dxa"/>
            <w:vAlign w:val="top"/>
          </w:tcPr>
          <w:p>
            <w:pPr>
              <w:spacing w:before="176" w:line="224" w:lineRule="auto"/>
              <w:ind w:left="55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2</w:t>
            </w:r>
            <w:r>
              <w:rPr>
                <w:rFonts w:hint="eastAsia" w:ascii="仿宋_GB2312" w:hAnsi="仿宋_GB2312" w:eastAsia="仿宋_GB2312" w:cs="仿宋_GB2312"/>
                <w:color w:val="auto"/>
                <w:spacing w:val="-15"/>
                <w:sz w:val="24"/>
                <w:szCs w:val="24"/>
              </w:rPr>
              <w:t>0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7" w:line="224" w:lineRule="auto"/>
              <w:ind w:left="15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铁</w:t>
            </w:r>
            <w:r>
              <w:rPr>
                <w:rFonts w:hint="eastAsia" w:ascii="仿宋_GB2312" w:hAnsi="仿宋_GB2312" w:eastAsia="仿宋_GB2312" w:cs="仿宋_GB2312"/>
                <w:color w:val="auto"/>
                <w:spacing w:val="-10"/>
                <w:sz w:val="24"/>
                <w:szCs w:val="24"/>
              </w:rPr>
              <w:t>锹</w:t>
            </w:r>
          </w:p>
        </w:tc>
        <w:tc>
          <w:tcPr>
            <w:tcW w:w="1714" w:type="dxa"/>
            <w:vAlign w:val="top"/>
          </w:tcPr>
          <w:p>
            <w:pPr>
              <w:spacing w:before="177" w:line="225" w:lineRule="auto"/>
              <w:ind w:left="55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3</w:t>
            </w:r>
            <w:r>
              <w:rPr>
                <w:rFonts w:hint="eastAsia" w:ascii="仿宋_GB2312" w:hAnsi="仿宋_GB2312" w:eastAsia="仿宋_GB2312" w:cs="仿宋_GB2312"/>
                <w:color w:val="auto"/>
                <w:spacing w:val="-16"/>
                <w:sz w:val="24"/>
                <w:szCs w:val="24"/>
              </w:rPr>
              <w:t>5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6"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7" w:line="222" w:lineRule="auto"/>
              <w:ind w:left="62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3</w:t>
            </w:r>
            <w:r>
              <w:rPr>
                <w:rFonts w:hint="eastAsia" w:ascii="仿宋_GB2312" w:hAnsi="仿宋_GB2312" w:eastAsia="仿宋_GB2312" w:cs="仿宋_GB2312"/>
                <w:color w:val="auto"/>
                <w:spacing w:val="-22"/>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6" w:line="220" w:lineRule="auto"/>
              <w:ind w:left="143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6" w:line="222" w:lineRule="auto"/>
              <w:ind w:left="62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2</w:t>
            </w:r>
            <w:r>
              <w:rPr>
                <w:rFonts w:hint="eastAsia" w:ascii="仿宋_GB2312" w:hAnsi="仿宋_GB2312" w:eastAsia="仿宋_GB2312" w:cs="仿宋_GB2312"/>
                <w:color w:val="auto"/>
                <w:spacing w:val="-21"/>
                <w:sz w:val="24"/>
                <w:szCs w:val="24"/>
              </w:rPr>
              <w:t xml:space="preserve"> 辆</w:t>
            </w:r>
          </w:p>
        </w:tc>
      </w:tr>
    </w:tbl>
    <w:p>
      <w:pPr>
        <w:rPr>
          <w:rFonts w:ascii="Arial"/>
          <w:color w:val="auto"/>
          <w:sz w:val="21"/>
        </w:rPr>
      </w:pPr>
    </w:p>
    <w:p>
      <w:pPr>
        <w:rPr>
          <w:color w:val="auto"/>
        </w:rPr>
        <w:sectPr>
          <w:pgSz w:w="11906" w:h="16839"/>
          <w:pgMar w:top="1431" w:right="1687" w:bottom="0" w:left="1687" w:header="0" w:footer="964" w:gutter="0"/>
          <w:pgBorders>
            <w:top w:val="none" w:sz="0" w:space="0"/>
            <w:left w:val="none" w:sz="0" w:space="0"/>
            <w:bottom w:val="none" w:sz="0" w:space="0"/>
            <w:right w:val="none" w:sz="0" w:space="0"/>
          </w:pgBorders>
          <w:pgNumType w:fmt="decimal"/>
          <w:cols w:space="720" w:num="1"/>
        </w:sectPr>
      </w:pPr>
    </w:p>
    <w:p>
      <w:pPr>
        <w:spacing w:line="91" w:lineRule="auto"/>
        <w:rPr>
          <w:rFonts w:ascii="Arial"/>
          <w:color w:val="auto"/>
          <w:sz w:val="2"/>
        </w:rPr>
      </w:pPr>
    </w:p>
    <w:tbl>
      <w:tblPr>
        <w:tblStyle w:val="2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1"/>
        <w:gridCol w:w="2305"/>
        <w:gridCol w:w="3666"/>
        <w:gridCol w:w="17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41" w:type="dxa"/>
            <w:vMerge w:val="restart"/>
            <w:vAlign w:val="center"/>
          </w:tcPr>
          <w:p>
            <w:pPr>
              <w:spacing w:before="225"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305" w:type="dxa"/>
            <w:vMerge w:val="restart"/>
            <w:vAlign w:val="center"/>
          </w:tcPr>
          <w:p>
            <w:pPr>
              <w:spacing w:before="177" w:line="222"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沙</w:t>
            </w:r>
            <w:r>
              <w:rPr>
                <w:rFonts w:hint="eastAsia" w:ascii="仿宋_GB2312" w:hAnsi="仿宋_GB2312" w:eastAsia="仿宋_GB2312" w:cs="仿宋_GB2312"/>
                <w:color w:val="auto"/>
                <w:spacing w:val="-7"/>
                <w:sz w:val="24"/>
                <w:szCs w:val="24"/>
              </w:rPr>
              <w:t>梁村</w:t>
            </w:r>
          </w:p>
        </w:tc>
        <w:tc>
          <w:tcPr>
            <w:tcW w:w="3666" w:type="dxa"/>
            <w:vAlign w:val="top"/>
          </w:tcPr>
          <w:p>
            <w:pPr>
              <w:spacing w:before="176" w:line="224" w:lineRule="auto"/>
              <w:ind w:left="14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灭火器</w:t>
            </w:r>
          </w:p>
        </w:tc>
        <w:tc>
          <w:tcPr>
            <w:tcW w:w="1714" w:type="dxa"/>
            <w:vAlign w:val="top"/>
          </w:tcPr>
          <w:p>
            <w:pPr>
              <w:spacing w:before="176" w:line="224" w:lineRule="auto"/>
              <w:ind w:left="54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4</w:t>
            </w:r>
            <w:r>
              <w:rPr>
                <w:rFonts w:hint="eastAsia" w:ascii="仿宋_GB2312" w:hAnsi="仿宋_GB2312" w:eastAsia="仿宋_GB2312" w:cs="仿宋_GB2312"/>
                <w:color w:val="auto"/>
                <w:spacing w:val="-14"/>
                <w:sz w:val="24"/>
                <w:szCs w:val="24"/>
              </w:rPr>
              <w:t>0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2" w:line="223" w:lineRule="auto"/>
              <w:ind w:left="15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714" w:type="dxa"/>
            <w:vAlign w:val="top"/>
          </w:tcPr>
          <w:p>
            <w:pPr>
              <w:spacing w:before="171" w:line="222" w:lineRule="auto"/>
              <w:ind w:left="6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4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1" w:line="222"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扫帚</w:t>
            </w:r>
          </w:p>
        </w:tc>
        <w:tc>
          <w:tcPr>
            <w:tcW w:w="1714" w:type="dxa"/>
            <w:vAlign w:val="top"/>
          </w:tcPr>
          <w:p>
            <w:pPr>
              <w:spacing w:before="172"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2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3" w:line="224" w:lineRule="auto"/>
              <w:ind w:left="15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铁</w:t>
            </w:r>
            <w:r>
              <w:rPr>
                <w:rFonts w:hint="eastAsia" w:ascii="仿宋_GB2312" w:hAnsi="仿宋_GB2312" w:eastAsia="仿宋_GB2312" w:cs="仿宋_GB2312"/>
                <w:color w:val="auto"/>
                <w:spacing w:val="-10"/>
                <w:sz w:val="24"/>
                <w:szCs w:val="24"/>
              </w:rPr>
              <w:t>锹</w:t>
            </w:r>
          </w:p>
        </w:tc>
        <w:tc>
          <w:tcPr>
            <w:tcW w:w="1714" w:type="dxa"/>
            <w:vAlign w:val="top"/>
          </w:tcPr>
          <w:p>
            <w:pPr>
              <w:spacing w:before="173" w:line="225" w:lineRule="auto"/>
              <w:ind w:left="55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2"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2"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0" w:lineRule="auto"/>
              <w:ind w:left="143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5"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restart"/>
            <w:vAlign w:val="center"/>
          </w:tcPr>
          <w:p>
            <w:pPr>
              <w:spacing w:before="226" w:line="179"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305" w:type="dxa"/>
            <w:vMerge w:val="restart"/>
            <w:vAlign w:val="center"/>
          </w:tcPr>
          <w:p>
            <w:pPr>
              <w:spacing w:before="175" w:line="2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2"/>
                <w:sz w:val="24"/>
                <w:szCs w:val="24"/>
              </w:rPr>
              <w:t>生</w:t>
            </w:r>
            <w:r>
              <w:rPr>
                <w:rFonts w:hint="eastAsia" w:ascii="仿宋_GB2312" w:hAnsi="仿宋_GB2312" w:eastAsia="仿宋_GB2312" w:cs="仿宋_GB2312"/>
                <w:color w:val="auto"/>
                <w:spacing w:val="-11"/>
                <w:sz w:val="24"/>
                <w:szCs w:val="24"/>
              </w:rPr>
              <w:t>盖营</w:t>
            </w:r>
            <w:r>
              <w:rPr>
                <w:rFonts w:hint="eastAsia" w:ascii="仿宋_GB2312" w:hAnsi="仿宋_GB2312" w:eastAsia="仿宋_GB2312" w:cs="仿宋_GB2312"/>
                <w:color w:val="auto"/>
                <w:spacing w:val="-11"/>
                <w:sz w:val="24"/>
                <w:szCs w:val="24"/>
                <w:lang w:val="en-US" w:eastAsia="zh-CN"/>
              </w:rPr>
              <w:t>村</w:t>
            </w:r>
          </w:p>
        </w:tc>
        <w:tc>
          <w:tcPr>
            <w:tcW w:w="3666" w:type="dxa"/>
            <w:vAlign w:val="top"/>
          </w:tcPr>
          <w:p>
            <w:pPr>
              <w:spacing w:before="175" w:line="223" w:lineRule="auto"/>
              <w:ind w:left="15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714" w:type="dxa"/>
            <w:vAlign w:val="top"/>
          </w:tcPr>
          <w:p>
            <w:pPr>
              <w:spacing w:before="174" w:line="222" w:lineRule="auto"/>
              <w:ind w:left="6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4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4" w:lineRule="auto"/>
              <w:ind w:left="13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 xml:space="preserve"> 号工具</w:t>
            </w:r>
          </w:p>
        </w:tc>
        <w:tc>
          <w:tcPr>
            <w:tcW w:w="1714" w:type="dxa"/>
            <w:vAlign w:val="top"/>
          </w:tcPr>
          <w:p>
            <w:pPr>
              <w:spacing w:before="174" w:line="225" w:lineRule="auto"/>
              <w:ind w:left="6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1"/>
                <w:sz w:val="24"/>
                <w:szCs w:val="24"/>
              </w:rPr>
              <w:t>4</w:t>
            </w:r>
            <w:r>
              <w:rPr>
                <w:rFonts w:hint="eastAsia" w:ascii="仿宋_GB2312" w:hAnsi="仿宋_GB2312" w:eastAsia="仿宋_GB2312" w:cs="仿宋_GB2312"/>
                <w:color w:val="auto"/>
                <w:spacing w:val="-19"/>
                <w:sz w:val="24"/>
                <w:szCs w:val="24"/>
              </w:rPr>
              <w:t xml:space="preserve">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5"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4" w:line="220" w:lineRule="auto"/>
              <w:ind w:left="143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5"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restart"/>
            <w:vAlign w:val="center"/>
          </w:tcPr>
          <w:p>
            <w:pPr>
              <w:spacing w:before="222"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305" w:type="dxa"/>
            <w:vMerge w:val="restart"/>
            <w:vAlign w:val="center"/>
          </w:tcPr>
          <w:p>
            <w:pPr>
              <w:spacing w:before="175" w:line="2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0"/>
                <w:sz w:val="24"/>
                <w:szCs w:val="24"/>
              </w:rPr>
              <w:t>哈拉更</w:t>
            </w:r>
            <w:r>
              <w:rPr>
                <w:rFonts w:hint="eastAsia" w:ascii="仿宋_GB2312" w:hAnsi="仿宋_GB2312" w:eastAsia="仿宋_GB2312" w:cs="仿宋_GB2312"/>
                <w:color w:val="auto"/>
                <w:spacing w:val="-10"/>
                <w:sz w:val="24"/>
                <w:szCs w:val="24"/>
                <w:lang w:val="en-US" w:eastAsia="zh-CN"/>
              </w:rPr>
              <w:t>村</w:t>
            </w:r>
          </w:p>
        </w:tc>
        <w:tc>
          <w:tcPr>
            <w:tcW w:w="3666" w:type="dxa"/>
            <w:vAlign w:val="top"/>
          </w:tcPr>
          <w:p>
            <w:pPr>
              <w:spacing w:before="174" w:line="223" w:lineRule="auto"/>
              <w:ind w:left="157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风</w:t>
            </w:r>
            <w:r>
              <w:rPr>
                <w:rFonts w:hint="eastAsia" w:ascii="仿宋_GB2312" w:hAnsi="仿宋_GB2312" w:eastAsia="仿宋_GB2312" w:cs="仿宋_GB2312"/>
                <w:color w:val="auto"/>
                <w:spacing w:val="-9"/>
                <w:sz w:val="24"/>
                <w:szCs w:val="24"/>
              </w:rPr>
              <w:t>机</w:t>
            </w:r>
          </w:p>
        </w:tc>
        <w:tc>
          <w:tcPr>
            <w:tcW w:w="1714" w:type="dxa"/>
            <w:vAlign w:val="top"/>
          </w:tcPr>
          <w:p>
            <w:pPr>
              <w:spacing w:before="173" w:line="222" w:lineRule="auto"/>
              <w:ind w:left="6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4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7" w:line="224" w:lineRule="auto"/>
              <w:ind w:left="13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 xml:space="preserve"> 号工具</w:t>
            </w:r>
          </w:p>
        </w:tc>
        <w:tc>
          <w:tcPr>
            <w:tcW w:w="1714" w:type="dxa"/>
            <w:vAlign w:val="top"/>
          </w:tcPr>
          <w:p>
            <w:pPr>
              <w:spacing w:before="176" w:line="225" w:lineRule="auto"/>
              <w:ind w:left="617"/>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1"/>
                <w:sz w:val="24"/>
                <w:szCs w:val="24"/>
              </w:rPr>
              <w:t>4</w:t>
            </w:r>
            <w:r>
              <w:rPr>
                <w:rFonts w:hint="eastAsia" w:ascii="仿宋_GB2312" w:hAnsi="仿宋_GB2312" w:eastAsia="仿宋_GB2312" w:cs="仿宋_GB2312"/>
                <w:color w:val="auto"/>
                <w:spacing w:val="-19"/>
                <w:sz w:val="24"/>
                <w:szCs w:val="24"/>
              </w:rPr>
              <w:t xml:space="preserve">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6"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6"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0" w:lineRule="auto"/>
              <w:ind w:left="143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6"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restart"/>
            <w:vAlign w:val="center"/>
          </w:tcPr>
          <w:p>
            <w:pPr>
              <w:spacing w:before="227" w:line="179"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305" w:type="dxa"/>
            <w:vMerge w:val="restart"/>
            <w:vAlign w:val="center"/>
          </w:tcPr>
          <w:p>
            <w:pPr>
              <w:spacing w:before="176" w:line="2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0"/>
                <w:sz w:val="24"/>
                <w:szCs w:val="24"/>
              </w:rPr>
              <w:t>哈拉沁</w:t>
            </w:r>
            <w:r>
              <w:rPr>
                <w:rFonts w:hint="eastAsia" w:ascii="仿宋_GB2312" w:hAnsi="仿宋_GB2312" w:eastAsia="仿宋_GB2312" w:cs="仿宋_GB2312"/>
                <w:color w:val="auto"/>
                <w:spacing w:val="-10"/>
                <w:sz w:val="24"/>
                <w:szCs w:val="24"/>
                <w:lang w:val="en-US" w:eastAsia="zh-CN"/>
              </w:rPr>
              <w:t>村村</w:t>
            </w:r>
          </w:p>
        </w:tc>
        <w:tc>
          <w:tcPr>
            <w:tcW w:w="3666" w:type="dxa"/>
            <w:vAlign w:val="top"/>
          </w:tcPr>
          <w:p>
            <w:pPr>
              <w:spacing w:before="177" w:line="220" w:lineRule="auto"/>
              <w:ind w:left="1568"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7" w:line="222" w:lineRule="auto"/>
              <w:ind w:left="624"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3"/>
                <w:sz w:val="24"/>
                <w:szCs w:val="24"/>
              </w:rPr>
              <w:t>3</w:t>
            </w:r>
            <w:r>
              <w:rPr>
                <w:rFonts w:hint="eastAsia" w:ascii="仿宋_GB2312" w:hAnsi="仿宋_GB2312" w:eastAsia="仿宋_GB2312" w:cs="仿宋_GB2312"/>
                <w:color w:val="auto"/>
                <w:spacing w:val="-22"/>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7" w:line="220" w:lineRule="auto"/>
              <w:ind w:left="1434"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7" w:line="222" w:lineRule="auto"/>
              <w:ind w:left="639"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top"/>
          </w:tcPr>
          <w:p>
            <w:pPr>
              <w:rPr>
                <w:rFonts w:hint="eastAsia" w:ascii="仿宋_GB2312" w:hAnsi="仿宋_GB2312" w:eastAsia="仿宋_GB2312" w:cs="仿宋_GB2312"/>
                <w:color w:val="auto"/>
                <w:sz w:val="24"/>
                <w:szCs w:val="24"/>
              </w:rPr>
            </w:pPr>
          </w:p>
        </w:tc>
        <w:tc>
          <w:tcPr>
            <w:tcW w:w="2305" w:type="dxa"/>
            <w:vMerge w:val="continue"/>
            <w:vAlign w:val="top"/>
          </w:tcPr>
          <w:p>
            <w:pPr>
              <w:rPr>
                <w:rFonts w:hint="eastAsia" w:ascii="仿宋_GB2312" w:hAnsi="仿宋_GB2312" w:eastAsia="仿宋_GB2312" w:cs="仿宋_GB2312"/>
                <w:color w:val="auto"/>
                <w:sz w:val="24"/>
                <w:szCs w:val="24"/>
              </w:rPr>
            </w:pPr>
          </w:p>
        </w:tc>
        <w:tc>
          <w:tcPr>
            <w:tcW w:w="3666" w:type="dxa"/>
            <w:vAlign w:val="top"/>
          </w:tcPr>
          <w:p>
            <w:pPr>
              <w:spacing w:before="176" w:line="223" w:lineRule="auto"/>
              <w:ind w:left="1568"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挖机</w:t>
            </w:r>
          </w:p>
        </w:tc>
        <w:tc>
          <w:tcPr>
            <w:tcW w:w="1714" w:type="dxa"/>
            <w:vAlign w:val="top"/>
          </w:tcPr>
          <w:p>
            <w:pPr>
              <w:spacing w:before="177" w:line="222" w:lineRule="auto"/>
              <w:ind w:left="639"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restart"/>
            <w:vAlign w:val="center"/>
          </w:tcPr>
          <w:p>
            <w:pPr>
              <w:spacing w:before="224"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2305" w:type="dxa"/>
            <w:vMerge w:val="restart"/>
            <w:vAlign w:val="center"/>
          </w:tcPr>
          <w:p>
            <w:pPr>
              <w:spacing w:before="176" w:line="222"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红</w:t>
            </w:r>
            <w:r>
              <w:rPr>
                <w:rFonts w:hint="eastAsia" w:ascii="仿宋_GB2312" w:hAnsi="仿宋_GB2312" w:eastAsia="仿宋_GB2312" w:cs="仿宋_GB2312"/>
                <w:color w:val="auto"/>
                <w:spacing w:val="-4"/>
                <w:sz w:val="24"/>
                <w:szCs w:val="24"/>
              </w:rPr>
              <w:t>山口村</w:t>
            </w:r>
          </w:p>
        </w:tc>
        <w:tc>
          <w:tcPr>
            <w:tcW w:w="3666" w:type="dxa"/>
            <w:vAlign w:val="top"/>
          </w:tcPr>
          <w:p>
            <w:pPr>
              <w:spacing w:before="175" w:line="224" w:lineRule="auto"/>
              <w:ind w:left="144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防火器</w:t>
            </w:r>
          </w:p>
        </w:tc>
        <w:tc>
          <w:tcPr>
            <w:tcW w:w="1714" w:type="dxa"/>
            <w:vAlign w:val="top"/>
          </w:tcPr>
          <w:p>
            <w:pPr>
              <w:spacing w:before="175" w:line="222" w:lineRule="auto"/>
              <w:ind w:left="6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6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41" w:type="dxa"/>
            <w:vMerge w:val="continue"/>
            <w:vAlign w:val="center"/>
          </w:tcPr>
          <w:p>
            <w:pPr>
              <w:jc w:val="center"/>
              <w:rPr>
                <w:rFonts w:hint="eastAsia" w:ascii="仿宋_GB2312" w:hAnsi="仿宋_GB2312" w:eastAsia="仿宋_GB2312" w:cs="仿宋_GB2312"/>
                <w:color w:val="auto"/>
                <w:sz w:val="24"/>
                <w:szCs w:val="24"/>
              </w:rPr>
            </w:pPr>
          </w:p>
        </w:tc>
        <w:tc>
          <w:tcPr>
            <w:tcW w:w="2305" w:type="dxa"/>
            <w:vMerge w:val="continue"/>
            <w:vAlign w:val="center"/>
          </w:tcPr>
          <w:p>
            <w:pPr>
              <w:jc w:val="center"/>
              <w:rPr>
                <w:rFonts w:hint="eastAsia" w:ascii="仿宋_GB2312" w:hAnsi="仿宋_GB2312" w:eastAsia="仿宋_GB2312" w:cs="仿宋_GB2312"/>
                <w:color w:val="auto"/>
                <w:sz w:val="24"/>
                <w:szCs w:val="24"/>
              </w:rPr>
            </w:pPr>
          </w:p>
        </w:tc>
        <w:tc>
          <w:tcPr>
            <w:tcW w:w="3666" w:type="dxa"/>
            <w:vAlign w:val="top"/>
          </w:tcPr>
          <w:p>
            <w:pPr>
              <w:spacing w:before="175" w:line="224" w:lineRule="auto"/>
              <w:ind w:left="143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灭火弹</w:t>
            </w:r>
          </w:p>
        </w:tc>
        <w:tc>
          <w:tcPr>
            <w:tcW w:w="1714" w:type="dxa"/>
            <w:vAlign w:val="top"/>
          </w:tcPr>
          <w:p>
            <w:pPr>
              <w:spacing w:before="175" w:line="222" w:lineRule="auto"/>
              <w:ind w:left="62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0"/>
                <w:sz w:val="24"/>
                <w:szCs w:val="24"/>
              </w:rPr>
              <w:t>2</w:t>
            </w:r>
            <w:r>
              <w:rPr>
                <w:rFonts w:hint="eastAsia" w:ascii="仿宋_GB2312" w:hAnsi="仿宋_GB2312" w:eastAsia="仿宋_GB2312" w:cs="仿宋_GB2312"/>
                <w:color w:val="auto"/>
                <w:spacing w:val="-19"/>
                <w:sz w:val="24"/>
                <w:szCs w:val="24"/>
              </w:rPr>
              <w:t xml:space="preserve"> 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41" w:type="dxa"/>
            <w:vMerge w:val="continue"/>
            <w:vAlign w:val="center"/>
          </w:tcPr>
          <w:p>
            <w:pPr>
              <w:jc w:val="center"/>
              <w:rPr>
                <w:rFonts w:ascii="Arial"/>
                <w:color w:val="auto"/>
                <w:sz w:val="21"/>
              </w:rPr>
            </w:pPr>
          </w:p>
        </w:tc>
        <w:tc>
          <w:tcPr>
            <w:tcW w:w="2305" w:type="dxa"/>
            <w:vMerge w:val="continue"/>
            <w:vAlign w:val="center"/>
          </w:tcPr>
          <w:p>
            <w:pPr>
              <w:jc w:val="center"/>
              <w:rPr>
                <w:rFonts w:ascii="Arial"/>
                <w:color w:val="auto"/>
                <w:sz w:val="21"/>
              </w:rPr>
            </w:pPr>
          </w:p>
        </w:tc>
        <w:tc>
          <w:tcPr>
            <w:tcW w:w="3666" w:type="dxa"/>
            <w:vAlign w:val="top"/>
          </w:tcPr>
          <w:p>
            <w:pPr>
              <w:spacing w:before="176" w:line="224" w:lineRule="auto"/>
              <w:ind w:left="128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钢</w:t>
            </w:r>
            <w:r>
              <w:rPr>
                <w:rFonts w:hint="eastAsia" w:ascii="仿宋_GB2312" w:hAnsi="仿宋_GB2312" w:eastAsia="仿宋_GB2312" w:cs="仿宋_GB2312"/>
                <w:color w:val="auto"/>
                <w:spacing w:val="-4"/>
                <w:sz w:val="24"/>
                <w:szCs w:val="24"/>
              </w:rPr>
              <w:t>丝扫把</w:t>
            </w:r>
          </w:p>
        </w:tc>
        <w:tc>
          <w:tcPr>
            <w:tcW w:w="1714" w:type="dxa"/>
            <w:vAlign w:val="top"/>
          </w:tcPr>
          <w:p>
            <w:pPr>
              <w:spacing w:before="177" w:line="225" w:lineRule="auto"/>
              <w:ind w:left="62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3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ascii="Arial"/>
                <w:color w:val="auto"/>
                <w:sz w:val="21"/>
              </w:rPr>
            </w:pPr>
          </w:p>
        </w:tc>
        <w:tc>
          <w:tcPr>
            <w:tcW w:w="2305" w:type="dxa"/>
            <w:vMerge w:val="continue"/>
            <w:vAlign w:val="center"/>
          </w:tcPr>
          <w:p>
            <w:pPr>
              <w:jc w:val="center"/>
              <w:rPr>
                <w:rFonts w:ascii="Arial"/>
                <w:color w:val="auto"/>
                <w:sz w:val="21"/>
              </w:rPr>
            </w:pPr>
          </w:p>
        </w:tc>
        <w:tc>
          <w:tcPr>
            <w:tcW w:w="3666" w:type="dxa"/>
            <w:vAlign w:val="top"/>
          </w:tcPr>
          <w:p>
            <w:pPr>
              <w:spacing w:before="173" w:line="224" w:lineRule="auto"/>
              <w:ind w:left="131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7"/>
                <w:sz w:val="24"/>
                <w:szCs w:val="24"/>
              </w:rPr>
              <w:t>2</w:t>
            </w:r>
            <w:r>
              <w:rPr>
                <w:rFonts w:hint="eastAsia" w:ascii="仿宋_GB2312" w:hAnsi="仿宋_GB2312" w:eastAsia="仿宋_GB2312" w:cs="仿宋_GB2312"/>
                <w:color w:val="auto"/>
                <w:spacing w:val="-16"/>
                <w:sz w:val="24"/>
                <w:szCs w:val="24"/>
              </w:rPr>
              <w:t xml:space="preserve"> 号工具</w:t>
            </w:r>
          </w:p>
        </w:tc>
        <w:tc>
          <w:tcPr>
            <w:tcW w:w="1714" w:type="dxa"/>
            <w:vAlign w:val="top"/>
          </w:tcPr>
          <w:p>
            <w:pPr>
              <w:spacing w:before="172" w:line="225" w:lineRule="auto"/>
              <w:ind w:left="56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1</w:t>
            </w:r>
            <w:r>
              <w:rPr>
                <w:rFonts w:hint="eastAsia" w:ascii="仿宋_GB2312" w:hAnsi="仿宋_GB2312" w:eastAsia="仿宋_GB2312" w:cs="仿宋_GB2312"/>
                <w:color w:val="auto"/>
                <w:spacing w:val="-20"/>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ascii="Arial"/>
                <w:color w:val="auto"/>
                <w:sz w:val="21"/>
              </w:rPr>
            </w:pPr>
          </w:p>
        </w:tc>
        <w:tc>
          <w:tcPr>
            <w:tcW w:w="2305" w:type="dxa"/>
            <w:vMerge w:val="continue"/>
            <w:vAlign w:val="center"/>
          </w:tcPr>
          <w:p>
            <w:pPr>
              <w:jc w:val="center"/>
              <w:rPr>
                <w:rFonts w:ascii="Arial"/>
                <w:color w:val="auto"/>
                <w:sz w:val="21"/>
              </w:rPr>
            </w:pPr>
          </w:p>
        </w:tc>
        <w:tc>
          <w:tcPr>
            <w:tcW w:w="3666" w:type="dxa"/>
            <w:vAlign w:val="top"/>
          </w:tcPr>
          <w:p>
            <w:pPr>
              <w:spacing w:before="173" w:line="223" w:lineRule="auto"/>
              <w:ind w:left="100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橡胶</w:t>
            </w:r>
            <w:r>
              <w:rPr>
                <w:rFonts w:hint="eastAsia" w:ascii="仿宋_GB2312" w:hAnsi="仿宋_GB2312" w:eastAsia="仿宋_GB2312" w:cs="仿宋_GB2312"/>
                <w:color w:val="auto"/>
                <w:spacing w:val="-2"/>
                <w:sz w:val="24"/>
                <w:szCs w:val="24"/>
              </w:rPr>
              <w:t>灭火扫把</w:t>
            </w:r>
          </w:p>
        </w:tc>
        <w:tc>
          <w:tcPr>
            <w:tcW w:w="1714" w:type="dxa"/>
            <w:vAlign w:val="top"/>
          </w:tcPr>
          <w:p>
            <w:pPr>
              <w:spacing w:before="173" w:line="225" w:lineRule="auto"/>
              <w:ind w:left="55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5</w:t>
            </w:r>
            <w:r>
              <w:rPr>
                <w:rFonts w:hint="eastAsia" w:ascii="仿宋_GB2312" w:hAnsi="仿宋_GB2312" w:eastAsia="仿宋_GB2312" w:cs="仿宋_GB2312"/>
                <w:color w:val="auto"/>
                <w:spacing w:val="-16"/>
                <w:sz w:val="24"/>
                <w:szCs w:val="24"/>
              </w:rPr>
              <w:t>0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ascii="Arial"/>
                <w:color w:val="auto"/>
                <w:sz w:val="21"/>
              </w:rPr>
            </w:pPr>
          </w:p>
        </w:tc>
        <w:tc>
          <w:tcPr>
            <w:tcW w:w="2305" w:type="dxa"/>
            <w:vMerge w:val="continue"/>
            <w:vAlign w:val="center"/>
          </w:tcPr>
          <w:p>
            <w:pPr>
              <w:jc w:val="center"/>
              <w:rPr>
                <w:rFonts w:ascii="Arial"/>
                <w:color w:val="auto"/>
                <w:sz w:val="21"/>
              </w:rPr>
            </w:pPr>
          </w:p>
        </w:tc>
        <w:tc>
          <w:tcPr>
            <w:tcW w:w="3666" w:type="dxa"/>
            <w:vAlign w:val="top"/>
          </w:tcPr>
          <w:p>
            <w:pPr>
              <w:spacing w:before="173" w:line="224" w:lineRule="auto"/>
              <w:ind w:left="129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竹子扫把</w:t>
            </w:r>
          </w:p>
        </w:tc>
        <w:tc>
          <w:tcPr>
            <w:tcW w:w="1714" w:type="dxa"/>
            <w:vAlign w:val="top"/>
          </w:tcPr>
          <w:p>
            <w:pPr>
              <w:spacing w:before="174" w:line="225" w:lineRule="auto"/>
              <w:ind w:left="62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5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1" w:type="dxa"/>
            <w:vMerge w:val="continue"/>
            <w:vAlign w:val="center"/>
          </w:tcPr>
          <w:p>
            <w:pPr>
              <w:jc w:val="center"/>
              <w:rPr>
                <w:rFonts w:ascii="Arial"/>
                <w:color w:val="auto"/>
                <w:sz w:val="21"/>
              </w:rPr>
            </w:pPr>
          </w:p>
        </w:tc>
        <w:tc>
          <w:tcPr>
            <w:tcW w:w="2305" w:type="dxa"/>
            <w:vMerge w:val="continue"/>
            <w:vAlign w:val="center"/>
          </w:tcPr>
          <w:p>
            <w:pPr>
              <w:jc w:val="center"/>
              <w:rPr>
                <w:rFonts w:ascii="Arial"/>
                <w:color w:val="auto"/>
                <w:sz w:val="21"/>
              </w:rPr>
            </w:pPr>
          </w:p>
        </w:tc>
        <w:tc>
          <w:tcPr>
            <w:tcW w:w="3666" w:type="dxa"/>
            <w:vAlign w:val="top"/>
          </w:tcPr>
          <w:p>
            <w:pPr>
              <w:spacing w:before="173" w:line="220" w:lineRule="auto"/>
              <w:ind w:left="156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3"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Merge w:val="continue"/>
            <w:vAlign w:val="center"/>
          </w:tcPr>
          <w:p>
            <w:pPr>
              <w:jc w:val="center"/>
              <w:rPr>
                <w:rFonts w:ascii="Arial"/>
                <w:color w:val="auto"/>
                <w:sz w:val="21"/>
              </w:rPr>
            </w:pPr>
          </w:p>
        </w:tc>
        <w:tc>
          <w:tcPr>
            <w:tcW w:w="2305" w:type="dxa"/>
            <w:vMerge w:val="continue"/>
            <w:vAlign w:val="center"/>
          </w:tcPr>
          <w:p>
            <w:pPr>
              <w:jc w:val="center"/>
              <w:rPr>
                <w:rFonts w:ascii="Arial"/>
                <w:color w:val="auto"/>
                <w:sz w:val="21"/>
              </w:rPr>
            </w:pPr>
          </w:p>
        </w:tc>
        <w:tc>
          <w:tcPr>
            <w:tcW w:w="3666" w:type="dxa"/>
            <w:vAlign w:val="top"/>
          </w:tcPr>
          <w:p>
            <w:pPr>
              <w:spacing w:before="176" w:line="220" w:lineRule="auto"/>
              <w:ind w:left="143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装</w:t>
            </w:r>
            <w:r>
              <w:rPr>
                <w:rFonts w:hint="eastAsia" w:ascii="仿宋_GB2312" w:hAnsi="仿宋_GB2312" w:eastAsia="仿宋_GB2312" w:cs="仿宋_GB2312"/>
                <w:color w:val="auto"/>
                <w:spacing w:val="-7"/>
                <w:sz w:val="24"/>
                <w:szCs w:val="24"/>
              </w:rPr>
              <w:t>载车</w:t>
            </w:r>
          </w:p>
        </w:tc>
        <w:tc>
          <w:tcPr>
            <w:tcW w:w="1714" w:type="dxa"/>
            <w:vAlign w:val="top"/>
          </w:tcPr>
          <w:p>
            <w:pPr>
              <w:spacing w:before="176" w:line="222" w:lineRule="auto"/>
              <w:ind w:left="63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8"/>
                <w:sz w:val="24"/>
                <w:szCs w:val="24"/>
              </w:rPr>
              <w:t>1</w:t>
            </w:r>
            <w:r>
              <w:rPr>
                <w:rFonts w:hint="eastAsia" w:ascii="仿宋_GB2312" w:hAnsi="仿宋_GB2312" w:eastAsia="仿宋_GB2312" w:cs="仿宋_GB2312"/>
                <w:color w:val="auto"/>
                <w:spacing w:val="-27"/>
                <w:sz w:val="24"/>
                <w:szCs w:val="24"/>
              </w:rPr>
              <w:t xml:space="preserve"> 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41" w:type="dxa"/>
            <w:vAlign w:val="center"/>
          </w:tcPr>
          <w:p>
            <w:pPr>
              <w:spacing w:before="224"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305" w:type="dxa"/>
            <w:vAlign w:val="center"/>
          </w:tcPr>
          <w:p>
            <w:pPr>
              <w:spacing w:before="175" w:line="2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9"/>
                <w:sz w:val="24"/>
                <w:szCs w:val="24"/>
              </w:rPr>
              <w:t>代</w:t>
            </w:r>
            <w:r>
              <w:rPr>
                <w:rFonts w:hint="eastAsia" w:ascii="仿宋_GB2312" w:hAnsi="仿宋_GB2312" w:eastAsia="仿宋_GB2312" w:cs="仿宋_GB2312"/>
                <w:color w:val="auto"/>
                <w:spacing w:val="-7"/>
                <w:sz w:val="24"/>
                <w:szCs w:val="24"/>
              </w:rPr>
              <w:t>洲营</w:t>
            </w:r>
            <w:r>
              <w:rPr>
                <w:rFonts w:hint="eastAsia" w:ascii="仿宋_GB2312" w:hAnsi="仿宋_GB2312" w:eastAsia="仿宋_GB2312" w:cs="仿宋_GB2312"/>
                <w:color w:val="auto"/>
                <w:spacing w:val="-7"/>
                <w:sz w:val="24"/>
                <w:szCs w:val="24"/>
                <w:lang w:val="en-US" w:eastAsia="zh-CN"/>
              </w:rPr>
              <w:t>村</w:t>
            </w:r>
          </w:p>
        </w:tc>
        <w:tc>
          <w:tcPr>
            <w:tcW w:w="3666" w:type="dxa"/>
            <w:vAlign w:val="top"/>
          </w:tcPr>
          <w:p>
            <w:pPr>
              <w:spacing w:before="175" w:line="224" w:lineRule="auto"/>
              <w:ind w:left="1431"/>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灭火器</w:t>
            </w:r>
          </w:p>
        </w:tc>
        <w:tc>
          <w:tcPr>
            <w:tcW w:w="1714" w:type="dxa"/>
            <w:vAlign w:val="top"/>
          </w:tcPr>
          <w:p>
            <w:pPr>
              <w:spacing w:before="175" w:line="224" w:lineRule="auto"/>
              <w:ind w:left="552"/>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9"/>
                <w:sz w:val="24"/>
                <w:szCs w:val="24"/>
              </w:rPr>
              <w:t>2</w:t>
            </w:r>
            <w:r>
              <w:rPr>
                <w:rFonts w:hint="eastAsia" w:ascii="仿宋_GB2312" w:hAnsi="仿宋_GB2312" w:eastAsia="仿宋_GB2312" w:cs="仿宋_GB2312"/>
                <w:color w:val="auto"/>
                <w:spacing w:val="-15"/>
                <w:sz w:val="24"/>
                <w:szCs w:val="24"/>
              </w:rPr>
              <w:t>2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41" w:type="dxa"/>
            <w:vAlign w:val="center"/>
          </w:tcPr>
          <w:p>
            <w:pPr>
              <w:spacing w:before="224" w:line="181"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2305" w:type="dxa"/>
            <w:vAlign w:val="center"/>
          </w:tcPr>
          <w:p>
            <w:pPr>
              <w:spacing w:before="224" w:line="181"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塔利村</w:t>
            </w:r>
          </w:p>
        </w:tc>
        <w:tc>
          <w:tcPr>
            <w:tcW w:w="3666" w:type="dxa"/>
            <w:vAlign w:val="top"/>
          </w:tcPr>
          <w:p>
            <w:pPr>
              <w:spacing w:before="176" w:line="220" w:lineRule="auto"/>
              <w:ind w:left="1568"/>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水车</w:t>
            </w:r>
          </w:p>
        </w:tc>
        <w:tc>
          <w:tcPr>
            <w:tcW w:w="1714" w:type="dxa"/>
            <w:vAlign w:val="top"/>
          </w:tcPr>
          <w:p>
            <w:pPr>
              <w:spacing w:before="175" w:line="222" w:lineRule="auto"/>
              <w:ind w:left="621"/>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2</w:t>
            </w:r>
            <w:r>
              <w:rPr>
                <w:rFonts w:hint="eastAsia" w:ascii="仿宋_GB2312" w:hAnsi="仿宋_GB2312" w:eastAsia="仿宋_GB2312" w:cs="仿宋_GB2312"/>
                <w:color w:val="auto"/>
                <w:spacing w:val="-12"/>
                <w:sz w:val="24"/>
                <w:szCs w:val="24"/>
              </w:rPr>
              <w:t xml:space="preserve"> 台</w:t>
            </w:r>
          </w:p>
        </w:tc>
      </w:tr>
    </w:tbl>
    <w:p>
      <w:pPr>
        <w:pStyle w:val="2"/>
        <w:pageBreakBefore w:val="0"/>
        <w:widowControl w:val="0"/>
        <w:kinsoku/>
        <w:wordWrap/>
        <w:overflowPunct/>
        <w:topLinePunct w:val="0"/>
        <w:autoSpaceDE/>
        <w:autoSpaceDN/>
        <w:bidi w:val="0"/>
        <w:jc w:val="both"/>
        <w:textAlignment w:val="auto"/>
        <w:rPr>
          <w:rFonts w:hint="default"/>
          <w:color w:val="auto"/>
          <w:lang w:val="en-US"/>
        </w:rPr>
      </w:pPr>
    </w:p>
    <w:p>
      <w:pPr>
        <w:pStyle w:val="2"/>
        <w:pageBreakBefore w:val="0"/>
        <w:widowControl w:val="0"/>
        <w:kinsoku/>
        <w:wordWrap/>
        <w:overflowPunct/>
        <w:topLinePunct w:val="0"/>
        <w:autoSpaceDE/>
        <w:autoSpaceDN/>
        <w:bidi w:val="0"/>
        <w:textAlignment w:val="auto"/>
        <w:rPr>
          <w:rFonts w:hint="eastAsia"/>
          <w:color w:val="auto"/>
        </w:rPr>
      </w:pPr>
    </w:p>
    <w:p>
      <w:pPr>
        <w:pageBreakBefore w:val="0"/>
        <w:widowControl w:val="0"/>
        <w:kinsoku/>
        <w:wordWrap/>
        <w:overflowPunct/>
        <w:topLinePunct w:val="0"/>
        <w:autoSpaceDE/>
        <w:autoSpaceDN/>
        <w:bidi w:val="0"/>
        <w:textAlignment w:val="auto"/>
        <w:rPr>
          <w:rFonts w:hint="eastAsia"/>
          <w:color w:val="auto"/>
        </w:rPr>
      </w:pPr>
    </w:p>
    <w:p>
      <w:pPr>
        <w:pStyle w:val="2"/>
        <w:pageBreakBefore w:val="0"/>
        <w:widowControl w:val="0"/>
        <w:kinsoku/>
        <w:wordWrap/>
        <w:overflowPunct/>
        <w:topLinePunct w:val="0"/>
        <w:autoSpaceDE/>
        <w:autoSpaceDN/>
        <w:bidi w:val="0"/>
        <w:textAlignment w:val="auto"/>
        <w:rPr>
          <w:rFonts w:hint="eastAsia"/>
          <w:color w:val="auto"/>
        </w:rPr>
        <w:sectPr>
          <w:pgSz w:w="11906" w:h="16838"/>
          <w:pgMar w:top="1304" w:right="1474" w:bottom="1304"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rPr>
          <w:rFonts w:hint="eastAsia" w:ascii="黑体" w:eastAsia="黑体"/>
          <w:bCs/>
          <w:color w:val="auto"/>
          <w:kern w:val="44"/>
          <w:sz w:val="32"/>
          <w:szCs w:val="44"/>
          <w:lang w:val="en-US" w:eastAsia="zh-CN"/>
        </w:rPr>
        <w:sectPr>
          <w:pgSz w:w="16838" w:h="11906" w:orient="landscape"/>
          <w:pgMar w:top="1474" w:right="1304" w:bottom="1474" w:left="130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237" w:name="_Toc528"/>
      <w:r>
        <w:rPr>
          <w:rFonts w:hint="eastAsia" w:ascii="黑体" w:eastAsia="黑体"/>
          <w:bCs/>
          <w:color w:val="auto"/>
          <w:kern w:val="44"/>
          <w:sz w:val="32"/>
          <w:szCs w:val="44"/>
          <w:lang w:val="en-US" w:eastAsia="zh-CN"/>
        </w:rPr>
        <w:t>附件7 新城区应急避险场所</w:t>
      </w:r>
      <w:bookmarkEnd w:id="237"/>
      <w:r>
        <w:rPr>
          <w:rFonts w:hint="eastAsia" w:ascii="黑体" w:eastAsia="黑体"/>
          <w:bCs/>
          <w:color w:val="auto"/>
          <w:kern w:val="44"/>
          <w:sz w:val="32"/>
          <w:szCs w:val="44"/>
          <w:lang w:val="en-US" w:eastAsia="zh-CN"/>
        </w:rPr>
        <w:t>（略）</w:t>
      </w:r>
    </w:p>
    <w:p>
      <w:pPr>
        <w:keepNext w:val="0"/>
        <w:keepLines w:val="0"/>
        <w:pageBreakBefore w:val="0"/>
        <w:widowControl w:val="0"/>
        <w:kinsoku/>
        <w:wordWrap/>
        <w:overflowPunct/>
        <w:topLinePunct w:val="0"/>
        <w:autoSpaceDE/>
        <w:autoSpaceDN/>
        <w:bidi w:val="0"/>
        <w:adjustRightInd/>
        <w:snapToGrid/>
        <w:spacing w:after="313" w:afterLines="100" w:line="360" w:lineRule="auto"/>
        <w:jc w:val="both"/>
        <w:textAlignment w:val="auto"/>
        <w:outlineLvl w:val="1"/>
        <w:rPr>
          <w:rFonts w:hint="eastAsia"/>
          <w:lang w:val="en-US" w:eastAsia="zh-CN"/>
        </w:rPr>
      </w:pPr>
      <w:bookmarkStart w:id="238" w:name="_Toc22769"/>
      <w:r>
        <w:rPr>
          <w:rFonts w:hint="eastAsia" w:ascii="黑体" w:eastAsia="黑体"/>
          <w:bCs/>
          <w:color w:val="auto"/>
          <w:kern w:val="44"/>
          <w:sz w:val="32"/>
          <w:szCs w:val="44"/>
          <w:lang w:val="en-US" w:eastAsia="zh-CN"/>
        </w:rPr>
        <w:t>附件8 新城区主要救治医院信息表</w:t>
      </w:r>
      <w:bookmarkEnd w:id="238"/>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4111"/>
        <w:gridCol w:w="2408"/>
        <w:gridCol w:w="2408"/>
        <w:gridCol w:w="2408"/>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03" w:type="dxa"/>
            <w:vAlign w:val="center"/>
          </w:tcPr>
          <w:p>
            <w:pPr>
              <w:keepNext w:val="0"/>
              <w:keepLines w:val="0"/>
              <w:widowControl/>
              <w:suppressLineNumbers w:val="0"/>
              <w:jc w:val="center"/>
              <w:textAlignment w:val="bottom"/>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4111" w:type="dxa"/>
            <w:vAlign w:val="center"/>
          </w:tcPr>
          <w:p>
            <w:pPr>
              <w:keepNext w:val="0"/>
              <w:keepLines w:val="0"/>
              <w:widowControl/>
              <w:suppressLineNumbers w:val="0"/>
              <w:jc w:val="center"/>
              <w:textAlignment w:val="bottom"/>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医院名称</w:t>
            </w:r>
          </w:p>
        </w:tc>
        <w:tc>
          <w:tcPr>
            <w:tcW w:w="2408" w:type="dxa"/>
            <w:vAlign w:val="center"/>
          </w:tcPr>
          <w:p>
            <w:pPr>
              <w:keepNext w:val="0"/>
              <w:keepLines w:val="0"/>
              <w:widowControl/>
              <w:suppressLineNumbers w:val="0"/>
              <w:jc w:val="center"/>
              <w:textAlignment w:val="bottom"/>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位置</w:t>
            </w:r>
          </w:p>
        </w:tc>
        <w:tc>
          <w:tcPr>
            <w:tcW w:w="2408" w:type="dxa"/>
            <w:vAlign w:val="center"/>
          </w:tcPr>
          <w:p>
            <w:pPr>
              <w:keepNext w:val="0"/>
              <w:keepLines w:val="0"/>
              <w:widowControl/>
              <w:suppressLineNumbers w:val="0"/>
              <w:jc w:val="center"/>
              <w:textAlignment w:val="bottom"/>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医院等级</w:t>
            </w:r>
          </w:p>
        </w:tc>
        <w:tc>
          <w:tcPr>
            <w:tcW w:w="2408" w:type="dxa"/>
            <w:vAlign w:val="center"/>
          </w:tcPr>
          <w:p>
            <w:pPr>
              <w:keepNext w:val="0"/>
              <w:keepLines w:val="0"/>
              <w:widowControl/>
              <w:suppressLineNumbers w:val="0"/>
              <w:jc w:val="center"/>
              <w:textAlignment w:val="bottom"/>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床位数</w:t>
            </w:r>
          </w:p>
        </w:tc>
        <w:tc>
          <w:tcPr>
            <w:tcW w:w="2408" w:type="dxa"/>
            <w:vAlign w:val="center"/>
          </w:tcPr>
          <w:p>
            <w:pPr>
              <w:keepNext w:val="0"/>
              <w:keepLines w:val="0"/>
              <w:widowControl/>
              <w:suppressLineNumbers w:val="0"/>
              <w:jc w:val="center"/>
              <w:textAlignment w:val="bottom"/>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急救电话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03" w:type="dxa"/>
            <w:vAlign w:val="center"/>
          </w:tcPr>
          <w:p>
            <w:pPr>
              <w:keepNext w:val="0"/>
              <w:keepLines w:val="0"/>
              <w:widowControl/>
              <w:suppressLineNumbers w:val="0"/>
              <w:jc w:val="center"/>
              <w:textAlignment w:val="bottom"/>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11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呼和浩特市新城区医院</w:t>
            </w:r>
          </w:p>
        </w:tc>
        <w:tc>
          <w:tcPr>
            <w:tcW w:w="2408" w:type="dxa"/>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内蒙古自治区呼和浩特市新城区哲里木路77号</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乙等,二级</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0471-8904202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widowControl/>
              <w:suppressLineNumbers w:val="0"/>
              <w:jc w:val="center"/>
              <w:textAlignment w:val="bottom"/>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11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内蒙古自治区精神卫生中心（内蒙古自治区第三医院、内蒙古自治区精神卫生研究所）</w:t>
            </w:r>
          </w:p>
        </w:tc>
        <w:tc>
          <w:tcPr>
            <w:tcW w:w="2408" w:type="dxa"/>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内蒙古自治区呼和浩特市新城区乌兰察布东街23号</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甲等,三级</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820</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0471-4935437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3" w:type="dxa"/>
            <w:vAlign w:val="center"/>
          </w:tcPr>
          <w:p>
            <w:pPr>
              <w:keepNext w:val="0"/>
              <w:keepLines w:val="0"/>
              <w:widowControl/>
              <w:suppressLineNumbers w:val="0"/>
              <w:jc w:val="center"/>
              <w:textAlignment w:val="bottom"/>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11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内蒙古自治区中医医院</w:t>
            </w:r>
          </w:p>
        </w:tc>
        <w:tc>
          <w:tcPr>
            <w:tcW w:w="2408" w:type="dxa"/>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内蒙古自治区呼和浩特市新城区健康街</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甲等,三级</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959</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0471-6920457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widowControl/>
              <w:suppressLineNumbers w:val="0"/>
              <w:jc w:val="center"/>
              <w:textAlignment w:val="bottom"/>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11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内蒙古自治区妇幼保健院（（内蒙古自治区儿童医院）（内蒙古自治区妇产医院））</w:t>
            </w:r>
          </w:p>
        </w:tc>
        <w:tc>
          <w:tcPr>
            <w:tcW w:w="2408" w:type="dxa"/>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内蒙古自治区呼和浩特市新新城区北二环快速路18号</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甲等,三级</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800</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0471-6357471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widowControl/>
              <w:suppressLineNumbers w:val="0"/>
              <w:jc w:val="center"/>
              <w:textAlignment w:val="bottom"/>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11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内蒙古自治区第四医院</w:t>
            </w:r>
          </w:p>
        </w:tc>
        <w:tc>
          <w:tcPr>
            <w:tcW w:w="2408" w:type="dxa"/>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内蒙古呼和浩特市新城区机场路与110国道连接路中段</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甲等,三级</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620</w:t>
            </w:r>
          </w:p>
        </w:tc>
        <w:tc>
          <w:tcPr>
            <w:tcW w:w="2408"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0471-2318303</w:t>
            </w:r>
          </w:p>
        </w:tc>
      </w:tr>
    </w:tbl>
    <w:p>
      <w:pPr>
        <w:rPr>
          <w:rFonts w:hint="eastAsia"/>
          <w:lang w:val="en-US" w:eastAsia="zh-CN"/>
        </w:rPr>
        <w:sectPr>
          <w:pgSz w:w="16838" w:h="11906" w:orient="landscape"/>
          <w:pgMar w:top="1474" w:right="1304" w:bottom="1474" w:left="130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1"/>
        <w:rPr>
          <w:rFonts w:hint="eastAsia" w:ascii="黑体" w:eastAsia="黑体"/>
          <w:bCs/>
          <w:color w:val="auto"/>
          <w:kern w:val="44"/>
          <w:sz w:val="32"/>
          <w:szCs w:val="44"/>
          <w:lang w:val="en-US" w:eastAsia="zh-CN"/>
        </w:rPr>
      </w:pPr>
      <w:bookmarkStart w:id="239" w:name="_Toc22321"/>
      <w:r>
        <w:rPr>
          <w:rFonts w:hint="eastAsia" w:ascii="黑体" w:eastAsia="黑体"/>
          <w:bCs/>
          <w:color w:val="auto"/>
          <w:kern w:val="44"/>
          <w:sz w:val="32"/>
          <w:szCs w:val="44"/>
          <w:lang w:val="en-US" w:eastAsia="zh-CN"/>
        </w:rPr>
        <w:t>附件9 重要目标和重大危险源保护力量的组成及调动</w:t>
      </w:r>
      <w:bookmarkStart w:id="240" w:name="_Toc23621"/>
      <w:bookmarkStart w:id="241" w:name="_Toc3094"/>
      <w:r>
        <w:rPr>
          <w:rFonts w:hint="eastAsia" w:ascii="黑体" w:eastAsia="黑体"/>
          <w:bCs/>
          <w:color w:val="auto"/>
          <w:kern w:val="44"/>
          <w:sz w:val="32"/>
          <w:szCs w:val="44"/>
          <w:lang w:val="en-US" w:eastAsia="zh-CN"/>
        </w:rPr>
        <w:t>方案</w:t>
      </w:r>
      <w:bookmarkEnd w:id="239"/>
      <w:bookmarkEnd w:id="240"/>
      <w:bookmarkEnd w:id="241"/>
    </w:p>
    <w:p>
      <w:pPr>
        <w:keepNext w:val="0"/>
        <w:keepLines w:val="0"/>
        <w:pageBreakBefore w:val="0"/>
        <w:widowControl w:val="0"/>
        <w:kinsoku/>
        <w:wordWrap/>
        <w:overflowPunct/>
        <w:topLinePunct w:val="0"/>
        <w:autoSpaceDE/>
        <w:autoSpaceDN/>
        <w:bidi w:val="0"/>
        <w:snapToGrid/>
        <w:spacing w:line="360" w:lineRule="auto"/>
        <w:ind w:firstLine="48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根据区林区</w:t>
      </w:r>
      <w:r>
        <w:rPr>
          <w:rFonts w:hint="eastAsia" w:ascii="仿宋_GB2312" w:hAnsi="仿宋_GB2312" w:eastAsia="仿宋_GB2312" w:cs="仿宋_GB2312"/>
          <w:color w:val="auto"/>
          <w:kern w:val="0"/>
          <w:sz w:val="32"/>
          <w:szCs w:val="32"/>
          <w:lang w:val="en-US" w:eastAsia="zh-CN"/>
        </w:rPr>
        <w:t>草原</w:t>
      </w:r>
      <w:r>
        <w:rPr>
          <w:rFonts w:hint="eastAsia" w:ascii="仿宋_GB2312" w:hAnsi="仿宋_GB2312" w:eastAsia="仿宋_GB2312" w:cs="仿宋_GB2312"/>
          <w:color w:val="auto"/>
          <w:kern w:val="0"/>
          <w:sz w:val="32"/>
          <w:szCs w:val="32"/>
        </w:rPr>
        <w:t>分布的重要目标和重大危险源，如居民区、文物古迹、军事设施、油库、加油站、液化气站、易燃化学品仓库、供变电站、油气管线等地面设施目标情况，在保护力量调动上，坚持以区消防救援队伍为主，驻地解放军、武警、民兵和预备役为补充的力量调动原则。</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1.在火情早期初判火灾可能对重要目标或重大危险源构成威胁时，立即调动消防救援</w:t>
      </w:r>
      <w:r>
        <w:rPr>
          <w:rFonts w:hint="eastAsia" w:ascii="仿宋_GB2312" w:hAnsi="仿宋_GB2312" w:eastAsia="仿宋_GB2312" w:cs="仿宋_GB2312"/>
          <w:color w:val="auto"/>
          <w:kern w:val="0"/>
          <w:sz w:val="32"/>
          <w:szCs w:val="32"/>
          <w:lang w:val="en-US" w:eastAsia="zh-CN"/>
        </w:rPr>
        <w:t>大</w:t>
      </w:r>
      <w:r>
        <w:rPr>
          <w:rFonts w:hint="eastAsia" w:ascii="仿宋_GB2312" w:hAnsi="仿宋_GB2312" w:eastAsia="仿宋_GB2312" w:cs="仿宋_GB2312"/>
          <w:color w:val="auto"/>
          <w:kern w:val="0"/>
          <w:sz w:val="32"/>
          <w:szCs w:val="32"/>
        </w:rPr>
        <w:t>队伍展开重要目标、重大危险源的保护行动；</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2.消防救援力量不足时，可</w:t>
      </w:r>
      <w:r>
        <w:rPr>
          <w:rFonts w:hint="eastAsia" w:ascii="仿宋_GB2312" w:hAnsi="仿宋_GB2312" w:eastAsia="仿宋_GB2312" w:cs="仿宋_GB2312"/>
          <w:color w:val="auto"/>
          <w:kern w:val="0"/>
          <w:sz w:val="32"/>
          <w:szCs w:val="32"/>
          <w:lang w:val="en-US" w:eastAsia="zh-CN"/>
        </w:rPr>
        <w:t>协调</w:t>
      </w:r>
      <w:r>
        <w:rPr>
          <w:rFonts w:hint="eastAsia" w:ascii="仿宋_GB2312" w:hAnsi="仿宋_GB2312" w:eastAsia="仿宋_GB2312" w:cs="仿宋_GB2312"/>
          <w:color w:val="auto"/>
          <w:kern w:val="0"/>
          <w:sz w:val="32"/>
          <w:szCs w:val="32"/>
        </w:rPr>
        <w:t>调动市森林消防特勤大队、综合消防救援队伍，必要时当地解放军、武警、民兵、预备役等力量实施增援保护行动。</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消防救援</w:t>
      </w:r>
      <w:r>
        <w:rPr>
          <w:rFonts w:hint="eastAsia" w:ascii="仿宋_GB2312" w:hAnsi="仿宋_GB2312" w:eastAsia="仿宋_GB2312" w:cs="仿宋_GB2312"/>
          <w:color w:val="auto"/>
          <w:kern w:val="0"/>
          <w:sz w:val="32"/>
          <w:szCs w:val="32"/>
          <w:lang w:val="en-US" w:eastAsia="zh-CN"/>
        </w:rPr>
        <w:t>大</w:t>
      </w:r>
      <w:r>
        <w:rPr>
          <w:rFonts w:hint="eastAsia" w:ascii="仿宋_GB2312" w:hAnsi="仿宋_GB2312" w:eastAsia="仿宋_GB2312" w:cs="仿宋_GB2312"/>
          <w:color w:val="auto"/>
          <w:kern w:val="0"/>
          <w:sz w:val="32"/>
          <w:szCs w:val="32"/>
        </w:rPr>
        <w:t>队根据保护行动需要，制定跨旗县区增援保卫重要目标和重大危险源行动的应急预案，组织实施跨旗县区增援保护工作和现场组织指挥。</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4.重要目标物和重大危险源受到森林火灾威胁时，可以采取开设阻隔带、清除障碍物、应急取水、局部交通管制等应急保护措施。</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5.组织保卫重要目标和危险源行动中，可以调用大型机械在其周围开设阻隔带；必要时，由森林消防特勤大队、专业扑火队伍依托隔离带，采取以火攻火，阻截火势蔓延，消除威胁影响。</w:t>
      </w:r>
    </w:p>
    <w:p>
      <w:pPr>
        <w:pageBreakBefore w:val="0"/>
        <w:widowControl w:val="0"/>
        <w:kinsoku/>
        <w:wordWrap/>
        <w:overflowPunct/>
        <w:topLinePunct w:val="0"/>
        <w:autoSpaceDE/>
        <w:autoSpaceDN/>
        <w:bidi w:val="0"/>
        <w:spacing w:line="360" w:lineRule="auto"/>
        <w:ind w:firstLine="640" w:firstLineChars="200"/>
        <w:textAlignment w:val="auto"/>
        <w:rPr>
          <w:rFonts w:hint="eastAsia" w:eastAsia="仿宋_GB2312"/>
          <w:color w:val="auto"/>
          <w:lang w:val="en-US" w:eastAsia="zh-CN"/>
        </w:rPr>
      </w:pPr>
      <w:r>
        <w:rPr>
          <w:rFonts w:hint="eastAsia" w:ascii="仿宋_GB2312" w:hAnsi="仿宋_GB2312" w:eastAsia="仿宋_GB2312" w:cs="仿宋_GB2312"/>
          <w:color w:val="auto"/>
          <w:kern w:val="0"/>
          <w:sz w:val="32"/>
          <w:szCs w:val="32"/>
        </w:rPr>
        <w:t>6.根据需要</w:t>
      </w:r>
      <w:r>
        <w:rPr>
          <w:rFonts w:hint="eastAsia" w:ascii="仿宋_GB2312" w:hAnsi="仿宋_GB2312" w:eastAsia="仿宋_GB2312" w:cs="仿宋_GB2312"/>
          <w:color w:val="auto"/>
          <w:kern w:val="0"/>
          <w:sz w:val="32"/>
          <w:szCs w:val="32"/>
          <w:lang w:val="en-US" w:eastAsia="zh-CN"/>
        </w:rPr>
        <w:t>区森防指</w:t>
      </w:r>
      <w:r>
        <w:rPr>
          <w:rFonts w:hint="eastAsia" w:ascii="仿宋_GB2312" w:hAnsi="仿宋_GB2312" w:eastAsia="仿宋_GB2312" w:cs="仿宋_GB2312"/>
          <w:color w:val="auto"/>
          <w:kern w:val="0"/>
          <w:sz w:val="32"/>
          <w:szCs w:val="32"/>
        </w:rPr>
        <w:t>向自治区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市</w:t>
      </w:r>
      <w:r>
        <w:rPr>
          <w:rFonts w:hint="eastAsia" w:ascii="仿宋_GB2312" w:hAnsi="仿宋_GB2312" w:eastAsia="仿宋_GB2312" w:cs="仿宋_GB2312"/>
          <w:color w:val="auto"/>
          <w:kern w:val="0"/>
          <w:sz w:val="32"/>
          <w:szCs w:val="32"/>
        </w:rPr>
        <w:t>森林草原防灭火指挥部提出航空消防飞机支援的请求，开展</w:t>
      </w:r>
      <w:r>
        <w:rPr>
          <w:rStyle w:val="24"/>
          <w:rFonts w:hint="eastAsia" w:ascii="仿宋_GB2312" w:hAnsi="仿宋_GB2312" w:eastAsia="仿宋_GB2312" w:cs="仿宋_GB2312"/>
          <w:color w:val="auto"/>
          <w:sz w:val="32"/>
          <w:szCs w:val="32"/>
        </w:rPr>
        <w:t>吊桶作业，</w:t>
      </w:r>
      <w:r>
        <w:rPr>
          <w:rFonts w:hint="eastAsia" w:ascii="仿宋_GB2312" w:hAnsi="仿宋_GB2312" w:eastAsia="仿宋_GB2312" w:cs="仿宋_GB2312"/>
          <w:color w:val="auto"/>
          <w:kern w:val="0"/>
          <w:sz w:val="32"/>
          <w:szCs w:val="32"/>
        </w:rPr>
        <w:t>保卫重要目标和</w:t>
      </w:r>
      <w:r>
        <w:rPr>
          <w:rFonts w:hint="eastAsia" w:ascii="仿宋_GB2312" w:hAnsi="仿宋_GB2312" w:eastAsia="仿宋_GB2312" w:cs="仿宋_GB2312"/>
          <w:color w:val="auto"/>
          <w:kern w:val="0"/>
          <w:sz w:val="32"/>
          <w:szCs w:val="32"/>
          <w:lang w:eastAsia="zh-CN"/>
        </w:rPr>
        <w:t>重大</w:t>
      </w:r>
      <w:r>
        <w:rPr>
          <w:rFonts w:hint="eastAsia" w:ascii="仿宋_GB2312" w:hAnsi="仿宋_GB2312" w:eastAsia="仿宋_GB2312" w:cs="仿宋_GB2312"/>
          <w:color w:val="auto"/>
          <w:kern w:val="0"/>
          <w:sz w:val="32"/>
          <w:szCs w:val="32"/>
        </w:rPr>
        <w:t>危险源的安全</w:t>
      </w:r>
      <w:r>
        <w:rPr>
          <w:rFonts w:hint="eastAsia" w:ascii="仿宋_GB2312" w:hAnsi="仿宋_GB2312" w:eastAsia="仿宋_GB2312" w:cs="仿宋_GB2312"/>
          <w:color w:val="auto"/>
          <w:kern w:val="0"/>
          <w:sz w:val="32"/>
          <w:szCs w:val="32"/>
          <w:lang w:eastAsia="zh-CN"/>
        </w:rPr>
        <w:t>。</w:t>
      </w:r>
    </w:p>
    <w:p>
      <w:pPr>
        <w:pageBreakBefore w:val="0"/>
        <w:widowControl w:val="0"/>
        <w:kinsoku/>
        <w:wordWrap/>
        <w:overflowPunct/>
        <w:topLinePunct w:val="0"/>
        <w:autoSpaceDE/>
        <w:autoSpaceDN/>
        <w:bidi w:val="0"/>
        <w:spacing w:line="360" w:lineRule="auto"/>
        <w:ind w:firstLine="420" w:firstLineChars="200"/>
        <w:textAlignment w:val="auto"/>
        <w:rPr>
          <w:color w:val="auto"/>
        </w:rPr>
      </w:pPr>
    </w:p>
    <w:p>
      <w:pPr>
        <w:pageBreakBefore w:val="0"/>
        <w:widowControl w:val="0"/>
        <w:kinsoku/>
        <w:wordWrap/>
        <w:overflowPunct/>
        <w:topLinePunct w:val="0"/>
        <w:autoSpaceDE/>
        <w:autoSpaceDN/>
        <w:bidi w:val="0"/>
        <w:spacing w:line="360" w:lineRule="auto"/>
        <w:textAlignment w:val="auto"/>
        <w:rPr>
          <w:color w:val="auto"/>
        </w:rPr>
      </w:pPr>
    </w:p>
    <w:p>
      <w:pPr>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仿宋_GB2312" w:cs="Times New Roman"/>
          <w:color w:val="auto"/>
        </w:rPr>
      </w:pPr>
    </w:p>
    <w:p>
      <w:pPr>
        <w:pageBreakBefore w:val="0"/>
        <w:widowControl w:val="0"/>
        <w:kinsoku/>
        <w:wordWrap/>
        <w:overflowPunct/>
        <w:topLinePunct w:val="0"/>
        <w:autoSpaceDE/>
        <w:autoSpaceDN/>
        <w:bidi w:val="0"/>
        <w:spacing w:line="360" w:lineRule="auto"/>
        <w:textAlignment w:val="auto"/>
        <w:rPr>
          <w:rFonts w:ascii="Times New Roman" w:hAnsi="Times New Roman" w:eastAsia="仿宋_GB2312" w:cs="Times New Roman"/>
          <w:color w:val="auto"/>
        </w:rPr>
      </w:pPr>
      <w:r>
        <w:rPr>
          <w:rFonts w:ascii="Times New Roman" w:hAnsi="Times New Roman" w:eastAsia="仿宋_GB2312" w:cs="Times New Roman"/>
          <w:color w:val="auto"/>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1"/>
        <w:rPr>
          <w:rFonts w:ascii="Times New Roman" w:hAnsi="Times New Roman" w:eastAsia="仿宋_GB2312" w:cs="Times New Roman"/>
          <w:color w:val="auto"/>
          <w:sz w:val="32"/>
        </w:rPr>
      </w:pPr>
      <w:bookmarkStart w:id="242" w:name="_Toc15480"/>
      <w:r>
        <w:rPr>
          <w:rFonts w:hint="eastAsia" w:ascii="黑体" w:eastAsia="黑体"/>
          <w:bCs/>
          <w:color w:val="auto"/>
          <w:kern w:val="44"/>
          <w:sz w:val="32"/>
          <w:szCs w:val="44"/>
          <w:lang w:val="en-US" w:eastAsia="zh-CN"/>
        </w:rPr>
        <w:t>附件10 森林草原防灭火气象服务和人工增雨作业方案</w:t>
      </w:r>
      <w:bookmarkEnd w:id="242"/>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1.进入防火期，气象</w:t>
      </w:r>
      <w:r>
        <w:rPr>
          <w:rFonts w:hint="eastAsia" w:ascii="仿宋_GB2312" w:hAnsi="仿宋_GB2312" w:eastAsia="仿宋_GB2312" w:cs="仿宋_GB2312"/>
          <w:color w:val="auto"/>
          <w:kern w:val="0"/>
          <w:sz w:val="32"/>
          <w:szCs w:val="32"/>
          <w:lang w:eastAsia="zh-CN"/>
        </w:rPr>
        <w:t>分</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rPr>
        <w:t>根据天气趋势，重点针对高火险区和高火险时段制定人工影响天气作业方案，适时开展人工</w:t>
      </w:r>
      <w:r>
        <w:rPr>
          <w:rStyle w:val="24"/>
          <w:rFonts w:hint="eastAsia" w:ascii="仿宋_GB2312" w:hAnsi="仿宋_GB2312" w:eastAsia="仿宋_GB2312" w:cs="仿宋_GB2312"/>
          <w:color w:val="auto"/>
          <w:sz w:val="32"/>
          <w:szCs w:val="32"/>
        </w:rPr>
        <w:t>增雨</w:t>
      </w:r>
      <w:r>
        <w:rPr>
          <w:rFonts w:hint="eastAsia" w:ascii="仿宋_GB2312" w:hAnsi="仿宋_GB2312" w:eastAsia="仿宋_GB2312" w:cs="仿宋_GB2312"/>
          <w:color w:val="auto"/>
          <w:kern w:val="0"/>
          <w:sz w:val="32"/>
          <w:szCs w:val="32"/>
        </w:rPr>
        <w:t>作业，增加空气湿度和可燃物含水量，降低森林草原火灾发生的可能性。</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2.森林草原火情早期处置过程中，区气象</w:t>
      </w:r>
      <w:r>
        <w:rPr>
          <w:rFonts w:hint="eastAsia" w:ascii="仿宋_GB2312" w:hAnsi="仿宋_GB2312" w:eastAsia="仿宋_GB2312" w:cs="仿宋_GB2312"/>
          <w:color w:val="auto"/>
          <w:kern w:val="0"/>
          <w:sz w:val="32"/>
          <w:szCs w:val="32"/>
          <w:lang w:eastAsia="zh-CN"/>
        </w:rPr>
        <w:t>分</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rPr>
        <w:t>要为扑火工作提供火场气象服务，包括火场天气实况、天气预报、天气形势分析、高火险天气预报和火势蔓延气象条件分析等，适时利用有利天气条件，在火灾区域上空开展人工</w:t>
      </w:r>
      <w:r>
        <w:rPr>
          <w:rStyle w:val="24"/>
          <w:rFonts w:hint="eastAsia" w:ascii="仿宋_GB2312" w:hAnsi="仿宋_GB2312" w:eastAsia="仿宋_GB2312" w:cs="仿宋_GB2312"/>
          <w:color w:val="auto"/>
          <w:sz w:val="32"/>
          <w:szCs w:val="32"/>
        </w:rPr>
        <w:t>增雨</w:t>
      </w:r>
      <w:r>
        <w:rPr>
          <w:rFonts w:hint="eastAsia" w:ascii="仿宋_GB2312" w:hAnsi="仿宋_GB2312" w:eastAsia="仿宋_GB2312" w:cs="仿宋_GB2312"/>
          <w:color w:val="auto"/>
          <w:kern w:val="0"/>
          <w:sz w:val="32"/>
          <w:szCs w:val="32"/>
        </w:rPr>
        <w:t>作业，降低火强度，减弱火势蔓延。</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outlineLvl w:val="9"/>
        <w:rPr>
          <w:rFonts w:hint="eastAsia" w:ascii="仿宋_GB2312" w:hAnsi="仿宋_GB2312" w:eastAsia="仿宋_GB2312" w:cs="仿宋_GB2312"/>
          <w:b/>
          <w:bCs/>
          <w:color w:val="auto"/>
          <w:kern w:val="0"/>
          <w:sz w:val="32"/>
          <w:szCs w:val="32"/>
          <w:highlight w:val="yellow"/>
          <w:lang w:eastAsia="zh-CN"/>
        </w:rPr>
        <w:sectPr>
          <w:pgSz w:w="11906" w:h="16838"/>
          <w:pgMar w:top="1304" w:right="1474" w:bottom="1304"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val="en-US" w:eastAsia="zh-CN"/>
        </w:rPr>
        <w:t>区</w:t>
      </w:r>
      <w:r>
        <w:rPr>
          <w:rFonts w:hint="eastAsia" w:ascii="仿宋_GB2312" w:hAnsi="仿宋_GB2312" w:eastAsia="仿宋_GB2312" w:cs="仿宋_GB2312"/>
          <w:color w:val="auto"/>
          <w:kern w:val="0"/>
          <w:sz w:val="32"/>
          <w:szCs w:val="32"/>
          <w:highlight w:val="none"/>
        </w:rPr>
        <w:t>气象</w:t>
      </w:r>
      <w:r>
        <w:rPr>
          <w:rFonts w:hint="eastAsia" w:ascii="仿宋_GB2312" w:hAnsi="仿宋_GB2312" w:eastAsia="仿宋_GB2312" w:cs="仿宋_GB2312"/>
          <w:color w:val="auto"/>
          <w:kern w:val="0"/>
          <w:sz w:val="32"/>
          <w:szCs w:val="32"/>
          <w:highlight w:val="none"/>
          <w:lang w:val="en-US" w:eastAsia="zh-CN"/>
        </w:rPr>
        <w:t>局</w:t>
      </w:r>
      <w:r>
        <w:rPr>
          <w:rStyle w:val="24"/>
          <w:rFonts w:hint="eastAsia" w:ascii="仿宋_GB2312" w:hAnsi="仿宋_GB2312" w:eastAsia="仿宋_GB2312" w:cs="仿宋_GB2312"/>
          <w:color w:val="auto"/>
          <w:sz w:val="32"/>
          <w:szCs w:val="32"/>
          <w:highlight w:val="none"/>
        </w:rPr>
        <w:t>负责</w:t>
      </w:r>
      <w:r>
        <w:rPr>
          <w:rStyle w:val="24"/>
          <w:rFonts w:hint="eastAsia" w:ascii="仿宋_GB2312" w:hAnsi="仿宋_GB2312" w:eastAsia="仿宋_GB2312" w:cs="仿宋_GB2312"/>
          <w:color w:val="auto"/>
          <w:sz w:val="32"/>
          <w:szCs w:val="32"/>
          <w:highlight w:val="none"/>
          <w:lang w:val="en-US" w:eastAsia="zh-CN"/>
        </w:rPr>
        <w:t>本区</w:t>
      </w:r>
      <w:r>
        <w:rPr>
          <w:rStyle w:val="24"/>
          <w:rFonts w:hint="eastAsia" w:ascii="仿宋_GB2312" w:hAnsi="仿宋_GB2312" w:eastAsia="仿宋_GB2312" w:cs="仿宋_GB2312"/>
          <w:color w:val="auto"/>
          <w:sz w:val="32"/>
          <w:szCs w:val="32"/>
          <w:highlight w:val="none"/>
        </w:rPr>
        <w:t>重点林区</w:t>
      </w:r>
      <w:r>
        <w:rPr>
          <w:rStyle w:val="24"/>
          <w:rFonts w:hint="eastAsia" w:ascii="仿宋_GB2312" w:hAnsi="仿宋_GB2312" w:eastAsia="仿宋_GB2312" w:cs="仿宋_GB2312"/>
          <w:color w:val="auto"/>
          <w:sz w:val="32"/>
          <w:szCs w:val="32"/>
          <w:highlight w:val="none"/>
          <w:lang w:val="en-US" w:eastAsia="zh-CN"/>
        </w:rPr>
        <w:t>草原</w:t>
      </w:r>
      <w:r>
        <w:rPr>
          <w:rStyle w:val="24"/>
          <w:rFonts w:hint="eastAsia" w:ascii="仿宋_GB2312" w:hAnsi="仿宋_GB2312" w:eastAsia="仿宋_GB2312" w:cs="仿宋_GB2312"/>
          <w:color w:val="auto"/>
          <w:sz w:val="32"/>
          <w:szCs w:val="32"/>
          <w:highlight w:val="none"/>
        </w:rPr>
        <w:t>以及重点时段的气象监测，</w:t>
      </w:r>
      <w:r>
        <w:rPr>
          <w:rFonts w:hint="eastAsia" w:ascii="仿宋_GB2312" w:hAnsi="仿宋_GB2312" w:eastAsia="仿宋_GB2312" w:cs="仿宋_GB2312"/>
          <w:color w:val="auto"/>
          <w:sz w:val="32"/>
          <w:szCs w:val="32"/>
          <w:highlight w:val="none"/>
        </w:rPr>
        <w:t>发布森林草原火险气象预报和火险气象等级预报</w:t>
      </w:r>
      <w:r>
        <w:rPr>
          <w:rStyle w:val="24"/>
          <w:rFonts w:hint="eastAsia" w:ascii="仿宋_GB2312" w:hAnsi="仿宋_GB2312" w:eastAsia="仿宋_GB2312" w:cs="仿宋_GB2312"/>
          <w:color w:val="auto"/>
          <w:sz w:val="32"/>
          <w:szCs w:val="32"/>
          <w:highlight w:val="none"/>
        </w:rPr>
        <w:t>，</w:t>
      </w:r>
      <w:r>
        <w:rPr>
          <w:rStyle w:val="24"/>
          <w:rFonts w:hint="eastAsia" w:ascii="仿宋_GB2312" w:hAnsi="仿宋_GB2312" w:eastAsia="仿宋_GB2312" w:cs="仿宋_GB2312"/>
          <w:color w:val="auto"/>
          <w:sz w:val="32"/>
          <w:szCs w:val="32"/>
          <w:highlight w:val="none"/>
          <w:lang w:val="en-US" w:eastAsia="zh-CN"/>
        </w:rPr>
        <w:t>并</w:t>
      </w:r>
      <w:r>
        <w:rPr>
          <w:rStyle w:val="24"/>
          <w:rFonts w:hint="eastAsia" w:ascii="仿宋_GB2312" w:hAnsi="仿宋_GB2312" w:eastAsia="仿宋_GB2312" w:cs="仿宋_GB2312"/>
          <w:color w:val="auto"/>
          <w:sz w:val="32"/>
          <w:szCs w:val="32"/>
          <w:highlight w:val="none"/>
        </w:rPr>
        <w:t>做好气象服务和人工影响天气作业。发生难以控制的大面积森林草原火灾时，组织移动气象站到火灾现地，重点分析预测火场周边气温、降水、风力、风向等变化趋势，研究开展人工增雨的可能性和时机，为扑救大规模火灾提供科学决策依据，根据有利天气条件组织开展人工增雨作业，为彻底扑灭森林草原火灾创造有利条件</w:t>
      </w:r>
      <w:r>
        <w:rPr>
          <w:rStyle w:val="24"/>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320" w:beforeLines="100" w:line="360" w:lineRule="auto"/>
        <w:ind w:firstLine="640" w:firstLineChars="200"/>
        <w:jc w:val="both"/>
        <w:textAlignment w:val="auto"/>
        <w:outlineLvl w:val="1"/>
        <w:rPr>
          <w:rFonts w:hint="eastAsia" w:ascii="黑体" w:eastAsia="黑体"/>
          <w:bCs/>
          <w:color w:val="auto"/>
          <w:kern w:val="44"/>
          <w:sz w:val="32"/>
          <w:szCs w:val="44"/>
          <w:lang w:val="en-US" w:eastAsia="zh-CN"/>
        </w:rPr>
      </w:pPr>
      <w:bookmarkStart w:id="243" w:name="_Toc29305"/>
      <w:bookmarkStart w:id="244" w:name="_Toc2432"/>
      <w:r>
        <w:rPr>
          <w:rFonts w:hint="eastAsia" w:ascii="黑体" w:eastAsia="黑体"/>
          <w:bCs/>
          <w:color w:val="auto"/>
          <w:kern w:val="44"/>
          <w:sz w:val="32"/>
          <w:szCs w:val="44"/>
          <w:lang w:val="en-US" w:eastAsia="zh-CN"/>
        </w:rPr>
        <w:t>附件11 新城区森林草原防火区域图</w:t>
      </w:r>
      <w:bookmarkEnd w:id="243"/>
      <w:bookmarkEnd w:id="244"/>
    </w:p>
    <w:p>
      <w:pPr>
        <w:pageBreakBefore w:val="0"/>
        <w:widowControl w:val="0"/>
        <w:kinsoku/>
        <w:wordWrap/>
        <w:overflowPunct/>
        <w:topLinePunct w:val="0"/>
        <w:autoSpaceDE/>
        <w:autoSpaceDN/>
        <w:bidi w:val="0"/>
        <w:spacing w:line="360" w:lineRule="auto"/>
        <w:ind w:firstLine="420" w:firstLineChars="200"/>
        <w:textAlignment w:val="auto"/>
        <w:rPr>
          <w:color w:val="auto"/>
        </w:rPr>
      </w:pPr>
      <w:r>
        <w:rPr>
          <w:color w:val="auto"/>
        </w:rPr>
        <w:drawing>
          <wp:inline distT="0" distB="0" distL="114300" distR="114300">
            <wp:extent cx="5640070" cy="7632065"/>
            <wp:effectExtent l="0" t="0" r="11430" b="635"/>
            <wp:docPr id="1" name="图片 1" descr="01呼和浩特市新城区森林草原防火区域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呼和浩特市新城区森林草原防火区域图(1)"/>
                    <pic:cNvPicPr>
                      <a:picLocks noChangeAspect="1"/>
                    </pic:cNvPicPr>
                  </pic:nvPicPr>
                  <pic:blipFill>
                    <a:blip r:embed="rId7"/>
                    <a:stretch>
                      <a:fillRect/>
                    </a:stretch>
                  </pic:blipFill>
                  <pic:spPr>
                    <a:xfrm>
                      <a:off x="0" y="0"/>
                      <a:ext cx="5640070" cy="7632065"/>
                    </a:xfrm>
                    <a:prstGeom prst="rect">
                      <a:avLst/>
                    </a:prstGeom>
                  </pic:spPr>
                </pic:pic>
              </a:graphicData>
            </a:graphic>
          </wp:inline>
        </w:drawing>
      </w:r>
    </w:p>
    <w:p>
      <w:pPr>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before="320" w:beforeLines="100" w:line="360" w:lineRule="auto"/>
        <w:ind w:firstLine="640" w:firstLineChars="200"/>
        <w:jc w:val="both"/>
        <w:textAlignment w:val="auto"/>
        <w:outlineLvl w:val="1"/>
        <w:rPr>
          <w:rFonts w:hint="eastAsia" w:ascii="黑体" w:eastAsia="黑体"/>
          <w:bCs/>
          <w:color w:val="auto"/>
          <w:kern w:val="44"/>
          <w:sz w:val="32"/>
          <w:szCs w:val="44"/>
          <w:lang w:val="en-US" w:eastAsia="zh-CN"/>
        </w:rPr>
      </w:pPr>
      <w:bookmarkStart w:id="245" w:name="_Toc19749"/>
      <w:r>
        <w:rPr>
          <w:rFonts w:hint="eastAsia" w:ascii="黑体" w:eastAsia="黑体"/>
          <w:bCs/>
          <w:color w:val="auto"/>
          <w:kern w:val="44"/>
          <w:sz w:val="32"/>
          <w:szCs w:val="44"/>
          <w:lang w:val="en-US" w:eastAsia="zh-CN"/>
        </w:rPr>
        <w:t>附件12 预案专家评审意见</w:t>
      </w:r>
      <w:bookmarkEnd w:id="245"/>
    </w:p>
    <w:p>
      <w:pPr>
        <w:pStyle w:val="2"/>
        <w:jc w:val="left"/>
        <w:rPr>
          <w:rFonts w:hint="default"/>
          <w:color w:val="auto"/>
          <w:lang w:val="en-US" w:eastAsia="zh-CN"/>
        </w:rPr>
      </w:pPr>
      <w:bookmarkStart w:id="246" w:name="_Toc31877"/>
      <w:bookmarkStart w:id="247" w:name="_Toc24238"/>
      <w:r>
        <w:rPr>
          <w:rFonts w:hint="default"/>
          <w:color w:val="auto"/>
          <w:lang w:val="en-US" w:eastAsia="zh-CN"/>
        </w:rPr>
        <w:drawing>
          <wp:inline distT="0" distB="0" distL="114300" distR="114300">
            <wp:extent cx="5295265" cy="7168515"/>
            <wp:effectExtent l="0" t="0" r="635" b="6985"/>
            <wp:docPr id="3" name="图片 3" descr="森林草原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森林草原_04"/>
                    <pic:cNvPicPr>
                      <a:picLocks noChangeAspect="1"/>
                    </pic:cNvPicPr>
                  </pic:nvPicPr>
                  <pic:blipFill>
                    <a:blip r:embed="rId7"/>
                    <a:srcRect l="11461" t="7815" r="10858" b="13787"/>
                    <a:stretch>
                      <a:fillRect/>
                    </a:stretch>
                  </pic:blipFill>
                  <pic:spPr>
                    <a:xfrm>
                      <a:off x="0" y="0"/>
                      <a:ext cx="5295265" cy="7168515"/>
                    </a:xfrm>
                    <a:prstGeom prst="rect">
                      <a:avLst/>
                    </a:prstGeom>
                  </pic:spPr>
                </pic:pic>
              </a:graphicData>
            </a:graphic>
          </wp:inline>
        </w:drawing>
      </w:r>
      <w:r>
        <w:rPr>
          <w:rFonts w:hint="default"/>
          <w:color w:val="auto"/>
          <w:lang w:val="en-US" w:eastAsia="zh-CN"/>
        </w:rPr>
        <w:drawing>
          <wp:inline distT="0" distB="0" distL="114300" distR="114300">
            <wp:extent cx="4850765" cy="7325995"/>
            <wp:effectExtent l="0" t="0" r="635" b="1905"/>
            <wp:docPr id="4" name="图片 4" descr="森林草原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森林草原_00"/>
                    <pic:cNvPicPr>
                      <a:picLocks noChangeAspect="1"/>
                    </pic:cNvPicPr>
                  </pic:nvPicPr>
                  <pic:blipFill>
                    <a:blip r:embed="rId7"/>
                    <a:srcRect l="7239" r="9241" b="22046"/>
                    <a:stretch>
                      <a:fillRect/>
                    </a:stretch>
                  </pic:blipFill>
                  <pic:spPr>
                    <a:xfrm>
                      <a:off x="0" y="0"/>
                      <a:ext cx="4850765" cy="7325995"/>
                    </a:xfrm>
                    <a:prstGeom prst="rect">
                      <a:avLst/>
                    </a:prstGeom>
                  </pic:spPr>
                </pic:pic>
              </a:graphicData>
            </a:graphic>
          </wp:inline>
        </w:drawing>
      </w:r>
      <w:r>
        <w:rPr>
          <w:rFonts w:hint="default"/>
          <w:color w:val="auto"/>
          <w:lang w:val="en-US" w:eastAsia="zh-CN"/>
        </w:rPr>
        <w:drawing>
          <wp:inline distT="0" distB="0" distL="114300" distR="114300">
            <wp:extent cx="4490085" cy="7559040"/>
            <wp:effectExtent l="0" t="0" r="5715" b="10160"/>
            <wp:docPr id="7" name="图片 7" descr="森林草原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森林草原_01"/>
                    <pic:cNvPicPr>
                      <a:picLocks noChangeAspect="1"/>
                    </pic:cNvPicPr>
                  </pic:nvPicPr>
                  <pic:blipFill>
                    <a:blip r:embed="rId8"/>
                    <a:srcRect l="9446" r="7842" b="20903"/>
                    <a:stretch>
                      <a:fillRect/>
                    </a:stretch>
                  </pic:blipFill>
                  <pic:spPr>
                    <a:xfrm>
                      <a:off x="0" y="0"/>
                      <a:ext cx="4490085" cy="7559040"/>
                    </a:xfrm>
                    <a:prstGeom prst="rect">
                      <a:avLst/>
                    </a:prstGeom>
                  </pic:spPr>
                </pic:pic>
              </a:graphicData>
            </a:graphic>
          </wp:inline>
        </w:drawing>
      </w:r>
      <w:r>
        <w:rPr>
          <w:rFonts w:hint="default"/>
          <w:color w:val="auto"/>
          <w:lang w:val="en-US" w:eastAsia="zh-CN"/>
        </w:rPr>
        <w:drawing>
          <wp:inline distT="0" distB="0" distL="114300" distR="114300">
            <wp:extent cx="5273675" cy="7316470"/>
            <wp:effectExtent l="0" t="0" r="9525" b="11430"/>
            <wp:docPr id="5" name="图片 5" descr="森林草原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森林草原_03"/>
                    <pic:cNvPicPr>
                      <a:picLocks noChangeAspect="1"/>
                    </pic:cNvPicPr>
                  </pic:nvPicPr>
                  <pic:blipFill>
                    <a:blip r:embed="rId9"/>
                    <a:srcRect l="9651" t="6109" r="7637" b="22609"/>
                    <a:stretch>
                      <a:fillRect/>
                    </a:stretch>
                  </pic:blipFill>
                  <pic:spPr>
                    <a:xfrm>
                      <a:off x="0" y="0"/>
                      <a:ext cx="5273675" cy="7316470"/>
                    </a:xfrm>
                    <a:prstGeom prst="rect">
                      <a:avLst/>
                    </a:prstGeom>
                  </pic:spPr>
                </pic:pic>
              </a:graphicData>
            </a:graphic>
          </wp:inline>
        </w:drawing>
      </w:r>
      <w:r>
        <w:rPr>
          <w:rFonts w:hint="default"/>
          <w:color w:val="auto"/>
          <w:lang w:val="en-US" w:eastAsia="zh-CN"/>
        </w:rPr>
        <w:drawing>
          <wp:inline distT="0" distB="0" distL="114300" distR="114300">
            <wp:extent cx="5655310" cy="7865110"/>
            <wp:effectExtent l="0" t="0" r="8890" b="8890"/>
            <wp:docPr id="6" name="图片 6" descr="森林草原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森林草原_02"/>
                    <pic:cNvPicPr>
                      <a:picLocks noChangeAspect="1"/>
                    </pic:cNvPicPr>
                  </pic:nvPicPr>
                  <pic:blipFill>
                    <a:blip r:embed="rId10"/>
                    <a:srcRect l="7637" t="3131" r="7842" b="20340"/>
                    <a:stretch>
                      <a:fillRect/>
                    </a:stretch>
                  </pic:blipFill>
                  <pic:spPr>
                    <a:xfrm>
                      <a:off x="0" y="0"/>
                      <a:ext cx="5655310" cy="7865110"/>
                    </a:xfrm>
                    <a:prstGeom prst="rect">
                      <a:avLst/>
                    </a:prstGeom>
                  </pic:spPr>
                </pic:pic>
              </a:graphicData>
            </a:graphic>
          </wp:inline>
        </w:drawing>
      </w:r>
      <w:bookmarkEnd w:id="246"/>
      <w:bookmarkEnd w:id="247"/>
    </w:p>
    <w:p>
      <w:pPr>
        <w:pStyle w:val="2"/>
        <w:rPr>
          <w:color w:val="auto"/>
        </w:rPr>
      </w:pPr>
    </w:p>
    <w:sectPr>
      <w:footerReference r:id="rId5" w:type="firs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C8D85"/>
    <w:multiLevelType w:val="singleLevel"/>
    <w:tmpl w:val="62AC8D85"/>
    <w:lvl w:ilvl="0" w:tentative="0">
      <w:start w:val="1"/>
      <w:numFmt w:val="decimal"/>
      <w:suff w:val="nothing"/>
      <w:lvlText w:val="（%1）"/>
      <w:lvlJc w:val="left"/>
      <w:rPr>
        <w:rFonts w:hint="default"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OTIxZjY2YjYzY2UzMWE0MGM3NzM4OTU5NzQzZDAifQ=="/>
  </w:docVars>
  <w:rsids>
    <w:rsidRoot w:val="1B3F022A"/>
    <w:rsid w:val="00037407"/>
    <w:rsid w:val="00337C34"/>
    <w:rsid w:val="004F7B3C"/>
    <w:rsid w:val="00A348EB"/>
    <w:rsid w:val="00A65D26"/>
    <w:rsid w:val="00AB4C07"/>
    <w:rsid w:val="00B52C51"/>
    <w:rsid w:val="00C46949"/>
    <w:rsid w:val="00C62465"/>
    <w:rsid w:val="00EA2D7F"/>
    <w:rsid w:val="010944EF"/>
    <w:rsid w:val="013C06BC"/>
    <w:rsid w:val="01590320"/>
    <w:rsid w:val="01831A44"/>
    <w:rsid w:val="01C50469"/>
    <w:rsid w:val="01E7687A"/>
    <w:rsid w:val="02160F0D"/>
    <w:rsid w:val="021A7BDD"/>
    <w:rsid w:val="02B17BF6"/>
    <w:rsid w:val="02ED1F77"/>
    <w:rsid w:val="036A66B2"/>
    <w:rsid w:val="07A77DA7"/>
    <w:rsid w:val="07E10A34"/>
    <w:rsid w:val="0856630B"/>
    <w:rsid w:val="08843074"/>
    <w:rsid w:val="08F16230"/>
    <w:rsid w:val="09954E0D"/>
    <w:rsid w:val="0A1421D6"/>
    <w:rsid w:val="0B275F39"/>
    <w:rsid w:val="0B5B03AB"/>
    <w:rsid w:val="0C006EC6"/>
    <w:rsid w:val="0C9C72BD"/>
    <w:rsid w:val="0C9F6AEC"/>
    <w:rsid w:val="0CF35458"/>
    <w:rsid w:val="0D205DEA"/>
    <w:rsid w:val="0D6F4C9E"/>
    <w:rsid w:val="0E0E518E"/>
    <w:rsid w:val="0E0F1632"/>
    <w:rsid w:val="0E72571D"/>
    <w:rsid w:val="0FE03471"/>
    <w:rsid w:val="136A730B"/>
    <w:rsid w:val="13983E78"/>
    <w:rsid w:val="14DD6BBD"/>
    <w:rsid w:val="159468C1"/>
    <w:rsid w:val="16942857"/>
    <w:rsid w:val="16F129BB"/>
    <w:rsid w:val="199F2AC1"/>
    <w:rsid w:val="1B3F022A"/>
    <w:rsid w:val="1BAD7459"/>
    <w:rsid w:val="1CB6549B"/>
    <w:rsid w:val="1EA35E34"/>
    <w:rsid w:val="204127D2"/>
    <w:rsid w:val="20E97AC1"/>
    <w:rsid w:val="21242D59"/>
    <w:rsid w:val="21752A77"/>
    <w:rsid w:val="217B0D8B"/>
    <w:rsid w:val="21863561"/>
    <w:rsid w:val="21CA5A31"/>
    <w:rsid w:val="22A30143"/>
    <w:rsid w:val="23130E25"/>
    <w:rsid w:val="23B03957"/>
    <w:rsid w:val="24B16B47"/>
    <w:rsid w:val="25D01F07"/>
    <w:rsid w:val="277327DA"/>
    <w:rsid w:val="283006CB"/>
    <w:rsid w:val="28E05892"/>
    <w:rsid w:val="28E37EFE"/>
    <w:rsid w:val="2982260A"/>
    <w:rsid w:val="2A1D07DB"/>
    <w:rsid w:val="2A2B4EF5"/>
    <w:rsid w:val="2AD26095"/>
    <w:rsid w:val="2C9664DE"/>
    <w:rsid w:val="2D2D6F87"/>
    <w:rsid w:val="2D7E77E3"/>
    <w:rsid w:val="2EA72D69"/>
    <w:rsid w:val="2ED55B28"/>
    <w:rsid w:val="2EF95FFC"/>
    <w:rsid w:val="2FEC2819"/>
    <w:rsid w:val="30C10112"/>
    <w:rsid w:val="31A57242"/>
    <w:rsid w:val="32D02E22"/>
    <w:rsid w:val="32EC4621"/>
    <w:rsid w:val="3390519F"/>
    <w:rsid w:val="33AC2215"/>
    <w:rsid w:val="34741C3F"/>
    <w:rsid w:val="360B1967"/>
    <w:rsid w:val="361137CE"/>
    <w:rsid w:val="363650FE"/>
    <w:rsid w:val="36613B84"/>
    <w:rsid w:val="36CD23FB"/>
    <w:rsid w:val="36E15CD9"/>
    <w:rsid w:val="37C70626"/>
    <w:rsid w:val="386473A8"/>
    <w:rsid w:val="388A535F"/>
    <w:rsid w:val="391D0D8A"/>
    <w:rsid w:val="3A690FC4"/>
    <w:rsid w:val="3A6C77A7"/>
    <w:rsid w:val="3A8053AE"/>
    <w:rsid w:val="3A9D32C7"/>
    <w:rsid w:val="3AB900AC"/>
    <w:rsid w:val="3B9049A4"/>
    <w:rsid w:val="3C333E8E"/>
    <w:rsid w:val="3C4161B8"/>
    <w:rsid w:val="3D21783E"/>
    <w:rsid w:val="3D42082D"/>
    <w:rsid w:val="3EBE3EE3"/>
    <w:rsid w:val="3F05411F"/>
    <w:rsid w:val="3F52287D"/>
    <w:rsid w:val="3F6902F3"/>
    <w:rsid w:val="400B3158"/>
    <w:rsid w:val="403964F1"/>
    <w:rsid w:val="41494F3A"/>
    <w:rsid w:val="421F113C"/>
    <w:rsid w:val="42470693"/>
    <w:rsid w:val="42677786"/>
    <w:rsid w:val="44801C3A"/>
    <w:rsid w:val="456C54B6"/>
    <w:rsid w:val="4583646E"/>
    <w:rsid w:val="45937F6F"/>
    <w:rsid w:val="45F428E0"/>
    <w:rsid w:val="464A1597"/>
    <w:rsid w:val="46983276"/>
    <w:rsid w:val="46D770B9"/>
    <w:rsid w:val="473A7631"/>
    <w:rsid w:val="48BF126D"/>
    <w:rsid w:val="48E81E4C"/>
    <w:rsid w:val="49777AB0"/>
    <w:rsid w:val="49A317DF"/>
    <w:rsid w:val="4A4B639C"/>
    <w:rsid w:val="4B645E12"/>
    <w:rsid w:val="4C2A0F65"/>
    <w:rsid w:val="4D0311C2"/>
    <w:rsid w:val="4DC40DEA"/>
    <w:rsid w:val="4DDC4386"/>
    <w:rsid w:val="50ED2406"/>
    <w:rsid w:val="52E72C19"/>
    <w:rsid w:val="53BD2563"/>
    <w:rsid w:val="54492049"/>
    <w:rsid w:val="553700F3"/>
    <w:rsid w:val="55807CEC"/>
    <w:rsid w:val="55F12761"/>
    <w:rsid w:val="56D03D7D"/>
    <w:rsid w:val="5798756F"/>
    <w:rsid w:val="57AB0CF2"/>
    <w:rsid w:val="58C1750E"/>
    <w:rsid w:val="58C83E84"/>
    <w:rsid w:val="591D64B5"/>
    <w:rsid w:val="5A236E98"/>
    <w:rsid w:val="5AC71A62"/>
    <w:rsid w:val="5B440FD7"/>
    <w:rsid w:val="5BD448EE"/>
    <w:rsid w:val="5DE5230E"/>
    <w:rsid w:val="5DF748C4"/>
    <w:rsid w:val="5EFC7D55"/>
    <w:rsid w:val="5F180F96"/>
    <w:rsid w:val="606114A1"/>
    <w:rsid w:val="60C211B9"/>
    <w:rsid w:val="61671D60"/>
    <w:rsid w:val="619E4E94"/>
    <w:rsid w:val="64571F7C"/>
    <w:rsid w:val="64A4192E"/>
    <w:rsid w:val="65675B08"/>
    <w:rsid w:val="65F11318"/>
    <w:rsid w:val="66546D57"/>
    <w:rsid w:val="68F86039"/>
    <w:rsid w:val="69EC3133"/>
    <w:rsid w:val="6A152565"/>
    <w:rsid w:val="6AA54A38"/>
    <w:rsid w:val="6AFF1A0D"/>
    <w:rsid w:val="6B217424"/>
    <w:rsid w:val="6B4C6EEC"/>
    <w:rsid w:val="6D6C0E2A"/>
    <w:rsid w:val="6D7952F5"/>
    <w:rsid w:val="6DCE64BE"/>
    <w:rsid w:val="6EA47288"/>
    <w:rsid w:val="6F796B58"/>
    <w:rsid w:val="6F924535"/>
    <w:rsid w:val="7035375F"/>
    <w:rsid w:val="70B442B2"/>
    <w:rsid w:val="71030298"/>
    <w:rsid w:val="71453E6C"/>
    <w:rsid w:val="72100F2F"/>
    <w:rsid w:val="72BD5C84"/>
    <w:rsid w:val="734318E0"/>
    <w:rsid w:val="73781BAB"/>
    <w:rsid w:val="75104791"/>
    <w:rsid w:val="75371D1E"/>
    <w:rsid w:val="755E4F59"/>
    <w:rsid w:val="756E1116"/>
    <w:rsid w:val="75D713F9"/>
    <w:rsid w:val="76404A1A"/>
    <w:rsid w:val="76976704"/>
    <w:rsid w:val="77FB236D"/>
    <w:rsid w:val="78302F5D"/>
    <w:rsid w:val="78D879E6"/>
    <w:rsid w:val="796C492D"/>
    <w:rsid w:val="79763600"/>
    <w:rsid w:val="7A305A3A"/>
    <w:rsid w:val="7A8636EA"/>
    <w:rsid w:val="7AD56ED0"/>
    <w:rsid w:val="7B6862ED"/>
    <w:rsid w:val="7CC16371"/>
    <w:rsid w:val="7D172435"/>
    <w:rsid w:val="7EBC0DA3"/>
    <w:rsid w:val="7EC30170"/>
    <w:rsid w:val="7F4B5551"/>
    <w:rsid w:val="7F4C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rFonts w:ascii="黑体" w:eastAsia="黑体"/>
      <w:bCs/>
      <w:kern w:val="44"/>
      <w:sz w:val="32"/>
      <w:szCs w:val="44"/>
    </w:rPr>
  </w:style>
  <w:style w:type="paragraph" w:styleId="4">
    <w:name w:val="heading 2"/>
    <w:basedOn w:val="1"/>
    <w:next w:val="1"/>
    <w:autoRedefine/>
    <w:semiHidden/>
    <w:unhideWhenUsed/>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宋体"/>
      <w:b/>
      <w:bCs/>
      <w:kern w:val="0"/>
      <w:sz w:val="32"/>
      <w:szCs w:val="32"/>
    </w:rPr>
  </w:style>
  <w:style w:type="paragraph" w:styleId="5">
    <w:name w:val="annotation text"/>
    <w:basedOn w:val="1"/>
    <w:link w:val="22"/>
    <w:qFormat/>
    <w:uiPriority w:val="0"/>
    <w:pPr>
      <w:jc w:val="left"/>
    </w:pPr>
  </w:style>
  <w:style w:type="paragraph" w:styleId="6">
    <w:name w:val="Body Text Indent"/>
    <w:basedOn w:val="1"/>
    <w:qFormat/>
    <w:uiPriority w:val="0"/>
    <w:pPr>
      <w:spacing w:after="120"/>
      <w:ind w:left="420" w:leftChars="200"/>
    </w:pPr>
  </w:style>
  <w:style w:type="paragraph" w:styleId="7">
    <w:name w:val="Balloon Text"/>
    <w:basedOn w:val="1"/>
    <w:link w:val="21"/>
    <w:autoRedefine/>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next w:val="1"/>
    <w:qFormat/>
    <w:uiPriority w:val="0"/>
    <w:pPr>
      <w:spacing w:beforeAutospacing="1" w:afterAutospacing="1"/>
      <w:jc w:val="left"/>
    </w:pPr>
    <w:rPr>
      <w:rFonts w:cs="Times New Roman"/>
      <w:kern w:val="0"/>
      <w:sz w:val="24"/>
    </w:rPr>
  </w:style>
  <w:style w:type="paragraph" w:styleId="13">
    <w:name w:val="annotation subject"/>
    <w:basedOn w:val="5"/>
    <w:next w:val="5"/>
    <w:link w:val="23"/>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qFormat/>
    <w:uiPriority w:val="0"/>
    <w:rPr>
      <w:sz w:val="21"/>
      <w:szCs w:val="21"/>
    </w:rPr>
  </w:style>
  <w:style w:type="paragraph" w:styleId="18">
    <w:name w:val="List Paragraph"/>
    <w:basedOn w:val="1"/>
    <w:qFormat/>
    <w:uiPriority w:val="34"/>
    <w:pPr>
      <w:ind w:firstLine="420" w:firstLineChars="200"/>
    </w:p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批注框文本 Char"/>
    <w:basedOn w:val="16"/>
    <w:link w:val="7"/>
    <w:qFormat/>
    <w:uiPriority w:val="0"/>
    <w:rPr>
      <w:rFonts w:asciiTheme="minorHAnsi" w:hAnsiTheme="minorHAnsi" w:eastAsiaTheme="minorEastAsia" w:cstheme="minorBidi"/>
      <w:kern w:val="2"/>
      <w:sz w:val="18"/>
      <w:szCs w:val="18"/>
    </w:rPr>
  </w:style>
  <w:style w:type="character" w:customStyle="1" w:styleId="22">
    <w:name w:val="批注文字 Char"/>
    <w:basedOn w:val="16"/>
    <w:link w:val="5"/>
    <w:qFormat/>
    <w:uiPriority w:val="0"/>
    <w:rPr>
      <w:rFonts w:asciiTheme="minorHAnsi" w:hAnsiTheme="minorHAnsi" w:eastAsiaTheme="minorEastAsia" w:cstheme="minorBidi"/>
      <w:kern w:val="2"/>
      <w:sz w:val="21"/>
      <w:szCs w:val="24"/>
    </w:rPr>
  </w:style>
  <w:style w:type="character" w:customStyle="1" w:styleId="23">
    <w:name w:val="批注主题 Char"/>
    <w:basedOn w:val="22"/>
    <w:link w:val="13"/>
    <w:qFormat/>
    <w:uiPriority w:val="0"/>
    <w:rPr>
      <w:rFonts w:asciiTheme="minorHAnsi" w:hAnsiTheme="minorHAnsi" w:eastAsiaTheme="minorEastAsia" w:cstheme="minorBidi"/>
      <w:b/>
      <w:bCs/>
      <w:kern w:val="2"/>
      <w:sz w:val="21"/>
      <w:szCs w:val="24"/>
    </w:rPr>
  </w:style>
  <w:style w:type="character" w:customStyle="1" w:styleId="24">
    <w:name w:val="NormalCharacter"/>
    <w:qFormat/>
    <w:uiPriority w:val="0"/>
  </w:style>
  <w:style w:type="table" w:customStyle="1" w:styleId="2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NUL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BD79D-15A5-450A-B4F4-E17697E7E7E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21276</Words>
  <Characters>23592</Characters>
  <Lines>145</Lines>
  <Paragraphs>40</Paragraphs>
  <TotalTime>2</TotalTime>
  <ScaleCrop>false</ScaleCrop>
  <LinksUpToDate>false</LinksUpToDate>
  <CharactersWithSpaces>24227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2022-04-21T16:48:00Z</dcterms:created>
  <dc:creator>王晓峰</dc:creator>
  <cp:lastModifiedBy>Administrator</cp:lastModifiedBy>
  <cp:lastPrinted>2022-08-11T02:24:00Z</cp:lastPrinted>
  <dcterms:modified xsi:type="dcterms:W3CDTF">2024-04-08T03:11:37Z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54D9C4EE8F17412D9E7521017B2AC2DE_13</vt:lpwstr>
  </property>
  <property fmtid="{D5CDD505-2E9C-101B-9397-08002B2CF9AE}" pid="4" name="commondata">
    <vt:lpwstr>eyJoZGlkIjoiMzMxNTQ1NmE1MDQ5MzdiZGY3MDE0OWFhNWVmNmFjZDYifQ==</vt:lpwstr>
  </property>
</Properties>
</file>