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rPr>
          <w:rFonts w:ascii="仿宋" w:hAnsi="仿宋" w:eastAsia="仿宋" w:cs="仿宋"/>
          <w:sz w:val="44"/>
          <w:szCs w:val="44"/>
        </w:rPr>
      </w:pPr>
    </w:p>
    <w:p>
      <w:pPr>
        <w:adjustRightInd w:val="0"/>
        <w:snapToGrid w:val="0"/>
        <w:spacing w:line="360" w:lineRule="auto"/>
        <w:rPr>
          <w:rFonts w:ascii="仿宋" w:hAnsi="仿宋" w:eastAsia="仿宋" w:cs="仿宋"/>
          <w:sz w:val="44"/>
          <w:szCs w:val="44"/>
        </w:rPr>
      </w:pPr>
    </w:p>
    <w:p>
      <w:pPr>
        <w:adjustRightInd w:val="0"/>
        <w:snapToGrid w:val="0"/>
        <w:spacing w:line="360" w:lineRule="auto"/>
        <w:rPr>
          <w:rFonts w:ascii="仿宋" w:hAnsi="仿宋" w:eastAsia="仿宋" w:cs="仿宋"/>
          <w:sz w:val="44"/>
          <w:szCs w:val="44"/>
        </w:rPr>
      </w:pPr>
    </w:p>
    <w:p>
      <w:pPr>
        <w:pageBreakBefore w:val="0"/>
        <w:widowControl w:val="0"/>
        <w:kinsoku/>
        <w:wordWrap/>
        <w:overflowPunct/>
        <w:topLinePunct w:val="0"/>
        <w:autoSpaceDE/>
        <w:autoSpaceDN/>
        <w:bidi w:val="0"/>
        <w:spacing w:line="360" w:lineRule="auto"/>
        <w:jc w:val="center"/>
        <w:rPr>
          <w:rFonts w:hint="eastAsia" w:ascii="仿宋" w:hAnsi="仿宋" w:eastAsia="仿宋" w:cs="仿宋"/>
          <w:b/>
          <w:color w:val="000000" w:themeColor="text1"/>
          <w:sz w:val="48"/>
          <w:szCs w:val="48"/>
          <w14:textFill>
            <w14:solidFill>
              <w14:schemeClr w14:val="tx1"/>
            </w14:solidFill>
          </w14:textFill>
        </w:rPr>
      </w:pPr>
      <w:r>
        <w:rPr>
          <w:rFonts w:hint="eastAsia" w:ascii="仿宋" w:hAnsi="仿宋" w:eastAsia="仿宋" w:cs="仿宋"/>
          <w:b/>
          <w:color w:val="000000" w:themeColor="text1"/>
          <w:sz w:val="48"/>
          <w:szCs w:val="48"/>
          <w14:textFill>
            <w14:solidFill>
              <w14:schemeClr w14:val="tx1"/>
            </w14:solidFill>
          </w14:textFill>
        </w:rPr>
        <w:t>新城区地震应急预案</w:t>
      </w: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rPr>
          <w:rFonts w:ascii="仿宋" w:hAnsi="仿宋" w:eastAsia="仿宋" w:cs="仿宋"/>
        </w:rPr>
      </w:pPr>
    </w:p>
    <w:p>
      <w:pPr>
        <w:adjustRightInd w:val="0"/>
        <w:snapToGrid w:val="0"/>
        <w:spacing w:line="360" w:lineRule="auto"/>
        <w:jc w:val="center"/>
        <w:rPr>
          <w:rFonts w:ascii="仿宋" w:hAnsi="仿宋" w:eastAsia="仿宋" w:cs="仿宋"/>
        </w:rPr>
      </w:pPr>
      <w:r>
        <w:rPr>
          <w:rFonts w:hint="eastAsia" w:ascii="仿宋" w:hAnsi="仿宋" w:eastAsia="仿宋" w:cs="仿宋"/>
        </w:rPr>
        <w:tab/>
      </w:r>
    </w:p>
    <w:p>
      <w:pPr>
        <w:adjustRightInd w:val="0"/>
        <w:snapToGrid w:val="0"/>
        <w:spacing w:line="360" w:lineRule="auto"/>
        <w:jc w:val="center"/>
        <w:rPr>
          <w:rFonts w:ascii="仿宋" w:hAnsi="仿宋" w:eastAsia="仿宋" w:cs="仿宋"/>
        </w:rPr>
      </w:pPr>
    </w:p>
    <w:p>
      <w:pPr>
        <w:adjustRightInd w:val="0"/>
        <w:snapToGrid w:val="0"/>
        <w:spacing w:line="360" w:lineRule="auto"/>
        <w:jc w:val="center"/>
        <w:rPr>
          <w:rFonts w:ascii="仿宋" w:hAnsi="仿宋" w:eastAsia="仿宋" w:cs="仿宋"/>
        </w:rPr>
      </w:pPr>
    </w:p>
    <w:p>
      <w:pPr>
        <w:adjustRightInd w:val="0"/>
        <w:snapToGrid w:val="0"/>
        <w:spacing w:line="360" w:lineRule="auto"/>
        <w:jc w:val="center"/>
        <w:rPr>
          <w:rFonts w:ascii="仿宋" w:hAnsi="仿宋" w:eastAsia="仿宋" w:cs="仿宋"/>
        </w:rPr>
      </w:pPr>
    </w:p>
    <w:p>
      <w:pPr>
        <w:adjustRightInd w:val="0"/>
        <w:snapToGrid w:val="0"/>
        <w:spacing w:line="360" w:lineRule="auto"/>
        <w:jc w:val="center"/>
        <w:rPr>
          <w:rFonts w:ascii="仿宋" w:hAnsi="仿宋" w:eastAsia="仿宋" w:cs="仿宋"/>
        </w:rPr>
      </w:pPr>
    </w:p>
    <w:p>
      <w:pPr>
        <w:adjustRightInd w:val="0"/>
        <w:snapToGrid w:val="0"/>
        <w:spacing w:line="360" w:lineRule="auto"/>
        <w:jc w:val="center"/>
        <w:rPr>
          <w:rFonts w:ascii="仿宋" w:hAnsi="仿宋" w:eastAsia="仿宋" w:cs="仿宋"/>
        </w:rPr>
      </w:pPr>
    </w:p>
    <w:p>
      <w:pPr>
        <w:adjustRightInd w:val="0"/>
        <w:snapToGrid w:val="0"/>
        <w:spacing w:line="360" w:lineRule="auto"/>
        <w:jc w:val="center"/>
        <w:rPr>
          <w:rFonts w:ascii="仿宋" w:hAnsi="仿宋" w:eastAsia="仿宋" w:cs="仿宋"/>
        </w:rPr>
      </w:pPr>
    </w:p>
    <w:p>
      <w:pPr>
        <w:adjustRightInd w:val="0"/>
        <w:snapToGrid w:val="0"/>
        <w:spacing w:line="360" w:lineRule="auto"/>
        <w:jc w:val="center"/>
        <w:rPr>
          <w:rFonts w:ascii="仿宋" w:hAnsi="仿宋" w:eastAsia="仿宋" w:cs="仿宋"/>
        </w:rPr>
      </w:pPr>
    </w:p>
    <w:p>
      <w:pPr>
        <w:adjustRightInd w:val="0"/>
        <w:snapToGrid w:val="0"/>
        <w:spacing w:line="360" w:lineRule="auto"/>
        <w:jc w:val="center"/>
        <w:rPr>
          <w:rFonts w:ascii="仿宋" w:hAnsi="仿宋" w:eastAsia="仿宋" w:cs="仿宋"/>
        </w:rPr>
      </w:pPr>
    </w:p>
    <w:p>
      <w:pPr>
        <w:pageBreakBefore w:val="0"/>
        <w:widowControl w:val="0"/>
        <w:kinsoku/>
        <w:wordWrap/>
        <w:overflowPunct/>
        <w:topLinePunct w:val="0"/>
        <w:autoSpaceDE/>
        <w:autoSpaceDN/>
        <w:bidi w:val="0"/>
        <w:spacing w:line="360" w:lineRule="auto"/>
        <w:jc w:val="center"/>
        <w:rPr>
          <w:rFonts w:hint="eastAsia" w:ascii="仿宋" w:hAnsi="仿宋" w:eastAsia="仿宋" w:cs="仿宋"/>
          <w:b/>
          <w:bCs/>
          <w:color w:val="000000" w:themeColor="text1"/>
          <w:sz w:val="32"/>
          <w:szCs w:val="32"/>
          <w:lang w:val="en-US" w:eastAsia="zh-CN"/>
          <w14:textFill>
            <w14:solidFill>
              <w14:schemeClr w14:val="tx1"/>
            </w14:solidFill>
          </w14:textFill>
        </w:rPr>
      </w:pPr>
    </w:p>
    <w:p>
      <w:pPr>
        <w:pageBreakBefore w:val="0"/>
        <w:widowControl w:val="0"/>
        <w:kinsoku/>
        <w:wordWrap/>
        <w:overflowPunct/>
        <w:topLinePunct w:val="0"/>
        <w:autoSpaceDE/>
        <w:autoSpaceDN/>
        <w:bidi w:val="0"/>
        <w:spacing w:line="360" w:lineRule="auto"/>
        <w:jc w:val="center"/>
        <w:rPr>
          <w:rFonts w:hint="default"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新城区人民政府</w:t>
      </w:r>
    </w:p>
    <w:p>
      <w:pPr>
        <w:pageBreakBefore w:val="0"/>
        <w:widowControl w:val="0"/>
        <w:kinsoku/>
        <w:wordWrap/>
        <w:overflowPunct/>
        <w:topLinePunct w:val="0"/>
        <w:autoSpaceDE/>
        <w:autoSpaceDN/>
        <w:bidi w:val="0"/>
        <w:spacing w:line="360" w:lineRule="auto"/>
        <w:jc w:val="center"/>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2022年8月</w:t>
      </w:r>
    </w:p>
    <w:p>
      <w:pPr>
        <w:tabs>
          <w:tab w:val="left" w:pos="3185"/>
        </w:tabs>
        <w:jc w:val="left"/>
        <w:rPr>
          <w:rFonts w:ascii="仿宋" w:hAnsi="仿宋" w:eastAsia="仿宋" w:cs="仿宋"/>
        </w:rPr>
        <w:sectPr>
          <w:pgSz w:w="11906" w:h="16838"/>
          <w:pgMar w:top="1440" w:right="1800" w:bottom="1440" w:left="1800" w:header="851" w:footer="992" w:gutter="0"/>
          <w:cols w:space="425" w:num="1"/>
          <w:docGrid w:type="lines" w:linePitch="312" w:charSpace="0"/>
        </w:sectPr>
      </w:pPr>
    </w:p>
    <w:sdt>
      <w:sdtPr>
        <w:rPr>
          <w:rFonts w:hint="eastAsia" w:ascii="仿宋" w:hAnsi="仿宋" w:eastAsia="仿宋" w:cs="仿宋"/>
          <w:b/>
          <w:bCs/>
          <w:kern w:val="44"/>
          <w:sz w:val="32"/>
          <w:szCs w:val="22"/>
        </w:rPr>
        <w:id w:val="147467529"/>
        <w:docPartObj>
          <w:docPartGallery w:val="Table of Contents"/>
          <w:docPartUnique/>
        </w:docPartObj>
      </w:sdtPr>
      <w:sdtEndPr>
        <w:rPr>
          <w:rFonts w:hint="eastAsia" w:ascii="仿宋" w:hAnsi="仿宋" w:eastAsia="仿宋" w:cs="仿宋"/>
          <w:b/>
          <w:bCs/>
          <w:kern w:val="44"/>
          <w:sz w:val="32"/>
          <w:szCs w:val="44"/>
        </w:rPr>
      </w:sdtEndPr>
      <w:sdtContent>
        <w:p>
          <w:pPr>
            <w:keepNext/>
            <w:keepLines/>
            <w:widowControl/>
            <w:adjustRightInd w:val="0"/>
            <w:snapToGrid w:val="0"/>
            <w:spacing w:line="360" w:lineRule="auto"/>
            <w:jc w:val="center"/>
            <w:rPr>
              <w:rFonts w:ascii="仿宋" w:hAnsi="仿宋" w:eastAsia="仿宋" w:cs="仿宋"/>
              <w:b/>
              <w:bCs/>
              <w:sz w:val="32"/>
              <w:szCs w:val="22"/>
            </w:rPr>
          </w:pPr>
          <w:r>
            <w:rPr>
              <w:rFonts w:hint="eastAsia" w:ascii="仿宋" w:hAnsi="仿宋" w:eastAsia="仿宋" w:cs="仿宋"/>
              <w:b/>
              <w:bCs/>
              <w:sz w:val="32"/>
              <w:szCs w:val="22"/>
            </w:rPr>
            <w:t>目     录</w:t>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36"/>
            </w:rPr>
            <w:fldChar w:fldCharType="begin"/>
          </w:r>
          <w:r>
            <w:rPr>
              <w:rFonts w:hint="eastAsia" w:ascii="仿宋" w:hAnsi="仿宋" w:eastAsia="仿宋" w:cs="仿宋"/>
              <w:sz w:val="28"/>
              <w:szCs w:val="36"/>
            </w:rPr>
            <w:instrText xml:space="preserve">TOC \o "1-2" \h \u </w:instrText>
          </w:r>
          <w:r>
            <w:rPr>
              <w:rFonts w:hint="eastAsia" w:ascii="仿宋" w:hAnsi="仿宋" w:eastAsia="仿宋" w:cs="仿宋"/>
              <w:sz w:val="28"/>
              <w:szCs w:val="36"/>
            </w:rPr>
            <w:fldChar w:fldCharType="separate"/>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_Toc32076 </w:instrText>
          </w:r>
          <w:r>
            <w:rPr>
              <w:rFonts w:hint="eastAsia" w:ascii="仿宋" w:hAnsi="仿宋" w:eastAsia="仿宋" w:cs="仿宋"/>
              <w:sz w:val="28"/>
              <w:szCs w:val="28"/>
            </w:rPr>
            <w:fldChar w:fldCharType="separate"/>
          </w:r>
          <w:r>
            <w:rPr>
              <w:rFonts w:hint="eastAsia" w:ascii="仿宋" w:hAnsi="仿宋" w:eastAsia="仿宋" w:cs="仿宋"/>
              <w:bCs/>
              <w:sz w:val="28"/>
              <w:szCs w:val="28"/>
            </w:rPr>
            <w:t>1总则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_Toc32076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_Toc15737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1.1编制目的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_Toc15737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_Toc6531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1.2</w:t>
          </w:r>
          <w:r>
            <w:rPr>
              <w:rFonts w:hint="eastAsia" w:ascii="仿宋" w:hAnsi="仿宋" w:eastAsia="仿宋" w:cs="仿宋"/>
              <w:bCs/>
              <w:kern w:val="44"/>
              <w:sz w:val="28"/>
              <w:szCs w:val="28"/>
              <w:lang w:val="en-US" w:eastAsia="zh-CN"/>
            </w:rPr>
            <w:t>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_Toc6531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_Toc19938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1.3</w:t>
          </w:r>
          <w:r>
            <w:rPr>
              <w:rFonts w:hint="eastAsia" w:ascii="仿宋" w:hAnsi="仿宋" w:eastAsia="仿宋" w:cs="仿宋"/>
              <w:bCs/>
              <w:kern w:val="44"/>
              <w:sz w:val="28"/>
              <w:szCs w:val="28"/>
            </w:rPr>
            <w:t>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_Toc19938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_Toc15557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1.4应急工作原则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_Toc15557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_Toc23497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2组织机构与职责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_Toc23497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_Toc19615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2.1抗震救灾指挥部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_Toc19615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_Toc7594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2.2抗震救灾指挥部办公室及职责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_Toc7594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_Toc22614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2.3成员单位及职责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_Toc22614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_Toc5529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2.4工作组组成及职责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_Toc5529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_Toc29165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2.5其他救援力量及职责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_Toc29165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_Toc24593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3</w:t>
          </w:r>
          <w:r>
            <w:rPr>
              <w:rFonts w:hint="eastAsia" w:ascii="仿宋" w:hAnsi="仿宋" w:eastAsia="仿宋" w:cs="仿宋"/>
              <w:bCs/>
              <w:kern w:val="44"/>
              <w:sz w:val="28"/>
              <w:szCs w:val="28"/>
              <w:lang w:val="en-US" w:eastAsia="zh-CN"/>
            </w:rPr>
            <w:t>震前防控措施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_Toc24593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_Toc28994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3.1信息监测与报告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_Toc28994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_Toc3537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3.2</w:t>
          </w:r>
          <w:r>
            <w:rPr>
              <w:rFonts w:hint="eastAsia" w:ascii="仿宋" w:hAnsi="仿宋" w:eastAsia="仿宋" w:cs="仿宋"/>
              <w:bCs/>
              <w:kern w:val="44"/>
              <w:sz w:val="28"/>
              <w:szCs w:val="28"/>
              <w:lang w:val="en-US" w:eastAsia="zh-CN"/>
            </w:rPr>
            <w:t>风险防控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_Toc3537 \h </w:instrText>
          </w:r>
          <w:r>
            <w:rPr>
              <w:rFonts w:hint="eastAsia" w:ascii="仿宋" w:hAnsi="仿宋" w:eastAsia="仿宋" w:cs="仿宋"/>
              <w:sz w:val="28"/>
              <w:szCs w:val="28"/>
            </w:rPr>
            <w:fldChar w:fldCharType="separate"/>
          </w:r>
          <w:r>
            <w:rPr>
              <w:rFonts w:hint="eastAsia" w:ascii="仿宋" w:hAnsi="仿宋" w:eastAsia="仿宋" w:cs="仿宋"/>
              <w:sz w:val="28"/>
              <w:szCs w:val="28"/>
            </w:rPr>
            <w:t>13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_Toc5680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4信息报告与发布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_Toc5680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_Toc14235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4.1信息报告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_Toc14235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_Toc26037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4.2信息发布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_Toc26037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_Toc7820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5应急响应</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_Toc7820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_Toc31748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5.1灾害分级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_Toc31748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_Toc5967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5.2响应分级</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_Toc5967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_Toc1864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5</w:t>
          </w:r>
          <w:r>
            <w:rPr>
              <w:rFonts w:hint="eastAsia" w:ascii="仿宋" w:hAnsi="仿宋" w:eastAsia="仿宋" w:cs="仿宋"/>
              <w:bCs/>
              <w:kern w:val="44"/>
              <w:sz w:val="28"/>
              <w:szCs w:val="28"/>
            </w:rPr>
            <w:t>.3响应启动程序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_Toc1864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_Toc6916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5.4响应级别调整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_Toc6916 \h </w:instrText>
          </w:r>
          <w:r>
            <w:rPr>
              <w:rFonts w:hint="eastAsia" w:ascii="仿宋" w:hAnsi="仿宋" w:eastAsia="仿宋" w:cs="仿宋"/>
              <w:sz w:val="28"/>
              <w:szCs w:val="28"/>
            </w:rPr>
            <w:fldChar w:fldCharType="separate"/>
          </w:r>
          <w:r>
            <w:rPr>
              <w:rFonts w:hint="eastAsia" w:ascii="仿宋" w:hAnsi="仿宋" w:eastAsia="仿宋" w:cs="仿宋"/>
              <w:sz w:val="28"/>
              <w:szCs w:val="28"/>
            </w:rPr>
            <w:t>17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_Toc31051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5.5响应终止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_Toc31051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_Toc1198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6应急响应措施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_Toc1198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_Toc22474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6.1搜救受困人员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_Toc22474 \h </w:instrText>
          </w:r>
          <w:r>
            <w:rPr>
              <w:rFonts w:hint="eastAsia" w:ascii="仿宋" w:hAnsi="仿宋" w:eastAsia="仿宋" w:cs="仿宋"/>
              <w:sz w:val="28"/>
              <w:szCs w:val="28"/>
            </w:rPr>
            <w:fldChar w:fldCharType="separate"/>
          </w:r>
          <w:r>
            <w:rPr>
              <w:rFonts w:hint="eastAsia" w:ascii="仿宋" w:hAnsi="仿宋" w:eastAsia="仿宋" w:cs="仿宋"/>
              <w:sz w:val="28"/>
              <w:szCs w:val="28"/>
            </w:rPr>
            <w:t>18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_Toc1755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6.2开展医疗救护和卫生防疫</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_Toc1755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_Toc10221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6.3安置受灾群众</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_Toc10221 \h </w:instrText>
          </w:r>
          <w:r>
            <w:rPr>
              <w:rFonts w:hint="eastAsia" w:ascii="仿宋" w:hAnsi="仿宋" w:eastAsia="仿宋" w:cs="仿宋"/>
              <w:sz w:val="28"/>
              <w:szCs w:val="28"/>
            </w:rPr>
            <w:fldChar w:fldCharType="separate"/>
          </w:r>
          <w:r>
            <w:rPr>
              <w:rFonts w:hint="eastAsia" w:ascii="仿宋" w:hAnsi="仿宋" w:eastAsia="仿宋" w:cs="仿宋"/>
              <w:sz w:val="28"/>
              <w:szCs w:val="28"/>
            </w:rPr>
            <w:t>19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_Toc916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6.4抢修基础设施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_Toc916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_Toc5883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6.5防御次生灾害</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_Toc5883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_Toc225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6.6维护社会治安</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_Toc225 \h </w:instrText>
          </w:r>
          <w:r>
            <w:rPr>
              <w:rFonts w:hint="eastAsia" w:ascii="仿宋" w:hAnsi="仿宋" w:eastAsia="仿宋" w:cs="仿宋"/>
              <w:sz w:val="28"/>
              <w:szCs w:val="28"/>
            </w:rPr>
            <w:fldChar w:fldCharType="separate"/>
          </w:r>
          <w:r>
            <w:rPr>
              <w:rFonts w:hint="eastAsia" w:ascii="仿宋" w:hAnsi="仿宋" w:eastAsia="仿宋" w:cs="仿宋"/>
              <w:sz w:val="28"/>
              <w:szCs w:val="28"/>
            </w:rPr>
            <w:t>20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_Toc20811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6.7开展社会动员</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_Toc20811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_Toc1640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7灾后救助与恢复重建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_Toc1640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_Toc16882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7.1善后处置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_Toc16882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_Toc21733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7.2过渡性安置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_Toc21733 \h </w:instrText>
          </w:r>
          <w:r>
            <w:rPr>
              <w:rFonts w:hint="eastAsia" w:ascii="仿宋" w:hAnsi="仿宋" w:eastAsia="仿宋" w:cs="仿宋"/>
              <w:sz w:val="28"/>
              <w:szCs w:val="28"/>
            </w:rPr>
            <w:fldChar w:fldCharType="separate"/>
          </w:r>
          <w:r>
            <w:rPr>
              <w:rFonts w:hint="eastAsia" w:ascii="仿宋" w:hAnsi="仿宋" w:eastAsia="仿宋" w:cs="仿宋"/>
              <w:sz w:val="28"/>
              <w:szCs w:val="28"/>
            </w:rPr>
            <w:t>21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_Toc2248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7.3规划重建</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_Toc2248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_Toc11926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8保障措施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_Toc11926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_Toc8636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8.1队伍保障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_Toc8636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_Toc24524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8.2技术保障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_Toc24524 \h </w:instrText>
          </w:r>
          <w:r>
            <w:rPr>
              <w:rFonts w:hint="eastAsia" w:ascii="仿宋" w:hAnsi="仿宋" w:eastAsia="仿宋" w:cs="仿宋"/>
              <w:sz w:val="28"/>
              <w:szCs w:val="28"/>
            </w:rPr>
            <w:fldChar w:fldCharType="separate"/>
          </w:r>
          <w:r>
            <w:rPr>
              <w:rFonts w:hint="eastAsia" w:ascii="仿宋" w:hAnsi="仿宋" w:eastAsia="仿宋" w:cs="仿宋"/>
              <w:sz w:val="28"/>
              <w:szCs w:val="28"/>
            </w:rPr>
            <w:t>23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_Toc20360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8.3应急避难场所保障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_Toc20360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_Toc28991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8.4救灾物资保障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_Toc28991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_Toc11590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8.5应急资金保障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_Toc11590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_Toc31200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8.6应急检查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_Toc31200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_Toc9592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8.7宣传动员、培训和演练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_Toc9592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_Toc29743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9其他地震事件的应急处置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_Toc29743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_Toc17020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9.1临震预报事件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_Toc17020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_Toc23402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9.2有感地震事件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_Toc23402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_Toc11150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9.3地震谣传事件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_Toc11150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_Toc14095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9.4特殊时期应急戒备</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_Toc14095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_Toc31411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10附则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_Toc31411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_Toc12162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10.1奖励与责任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_Toc12162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_Toc15186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10.2预案制定与修订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_Toc15186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_Toc23771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10.3预案实施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_Toc23771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_Toc7748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11附件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_Toc7748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ind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_Toc18726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rPr>
            <w:t>附件1</w:t>
          </w:r>
          <w:r>
            <w:rPr>
              <w:rFonts w:hint="eastAsia" w:ascii="仿宋" w:hAnsi="仿宋" w:eastAsia="仿宋" w:cs="仿宋"/>
              <w:bCs/>
              <w:kern w:val="44"/>
              <w:sz w:val="28"/>
              <w:szCs w:val="28"/>
              <w:lang w:val="en-US" w:eastAsia="zh-CN"/>
            </w:rPr>
            <w:t>新城区</w:t>
          </w:r>
          <w:r>
            <w:rPr>
              <w:rFonts w:hint="eastAsia" w:ascii="仿宋" w:hAnsi="仿宋" w:eastAsia="仿宋" w:cs="仿宋"/>
              <w:bCs/>
              <w:kern w:val="44"/>
              <w:sz w:val="28"/>
              <w:szCs w:val="28"/>
            </w:rPr>
            <w:t>抗震救灾指挥部指挥体系示意图</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_Toc18726 \h </w:instrText>
          </w:r>
          <w:r>
            <w:rPr>
              <w:rFonts w:hint="eastAsia" w:ascii="仿宋" w:hAnsi="仿宋" w:eastAsia="仿宋" w:cs="仿宋"/>
              <w:sz w:val="28"/>
              <w:szCs w:val="28"/>
            </w:rPr>
            <w:fldChar w:fldCharType="separate"/>
          </w:r>
          <w:r>
            <w:rPr>
              <w:rFonts w:hint="eastAsia" w:ascii="仿宋" w:hAnsi="仿宋" w:eastAsia="仿宋" w:cs="仿宋"/>
              <w:sz w:val="28"/>
              <w:szCs w:val="28"/>
            </w:rPr>
            <w:t>30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_Toc6045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附件2</w:t>
          </w:r>
          <w:r>
            <w:rPr>
              <w:rFonts w:hint="eastAsia" w:ascii="仿宋" w:hAnsi="仿宋" w:eastAsia="仿宋" w:cs="仿宋"/>
              <w:bCs/>
              <w:kern w:val="44"/>
              <w:sz w:val="28"/>
              <w:szCs w:val="28"/>
            </w:rPr>
            <w:t>新城区抗震救灾指挥部组成人员通讯录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_Toc6045 \h </w:instrText>
          </w:r>
          <w:r>
            <w:rPr>
              <w:rFonts w:hint="eastAsia" w:ascii="仿宋" w:hAnsi="仿宋" w:eastAsia="仿宋" w:cs="仿宋"/>
              <w:sz w:val="28"/>
              <w:szCs w:val="28"/>
            </w:rPr>
            <w:fldChar w:fldCharType="separate"/>
          </w:r>
          <w:r>
            <w:rPr>
              <w:rFonts w:hint="eastAsia" w:ascii="仿宋" w:hAnsi="仿宋" w:eastAsia="仿宋" w:cs="仿宋"/>
              <w:sz w:val="28"/>
              <w:szCs w:val="28"/>
            </w:rPr>
            <w:t>31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_Toc10647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附件3</w:t>
          </w:r>
          <w:r>
            <w:rPr>
              <w:rFonts w:hint="eastAsia" w:ascii="仿宋" w:hAnsi="仿宋" w:eastAsia="仿宋" w:cs="仿宋"/>
              <w:bCs/>
              <w:kern w:val="44"/>
              <w:sz w:val="28"/>
              <w:szCs w:val="28"/>
            </w:rPr>
            <w:t>新城区</w:t>
          </w:r>
          <w:r>
            <w:rPr>
              <w:rFonts w:hint="eastAsia" w:ascii="仿宋" w:hAnsi="仿宋" w:eastAsia="仿宋" w:cs="仿宋"/>
              <w:bCs/>
              <w:kern w:val="44"/>
              <w:sz w:val="28"/>
              <w:szCs w:val="28"/>
              <w:lang w:val="en-US" w:eastAsia="zh-CN"/>
            </w:rPr>
            <w:t>地震基本情况介绍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_Toc10647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_Toc31610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zh-CN" w:eastAsia="zh-CN"/>
            </w:rPr>
            <w:t>附件</w:t>
          </w:r>
          <w:r>
            <w:rPr>
              <w:rFonts w:hint="eastAsia" w:ascii="仿宋" w:hAnsi="仿宋" w:eastAsia="仿宋" w:cs="仿宋"/>
              <w:bCs/>
              <w:kern w:val="44"/>
              <w:sz w:val="28"/>
              <w:szCs w:val="28"/>
              <w:lang w:val="en-US" w:eastAsia="zh-CN"/>
            </w:rPr>
            <w:t>4</w:t>
          </w:r>
          <w:r>
            <w:rPr>
              <w:rFonts w:hint="eastAsia" w:ascii="仿宋" w:hAnsi="仿宋" w:eastAsia="仿宋" w:cs="仿宋"/>
              <w:bCs/>
              <w:kern w:val="44"/>
              <w:sz w:val="28"/>
              <w:szCs w:val="28"/>
              <w:lang w:val="zh-CN" w:eastAsia="zh-CN"/>
            </w:rPr>
            <w:t>应急救援物资储备情况表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_Toc31610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_Toc11914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附件5</w:t>
          </w:r>
          <w:r>
            <w:rPr>
              <w:rFonts w:hint="eastAsia" w:ascii="仿宋" w:hAnsi="仿宋" w:eastAsia="仿宋" w:cs="仿宋"/>
              <w:bCs/>
              <w:kern w:val="44"/>
              <w:sz w:val="28"/>
              <w:szCs w:val="28"/>
            </w:rPr>
            <w:t>新城区</w:t>
          </w:r>
          <w:r>
            <w:rPr>
              <w:rFonts w:hint="eastAsia" w:ascii="仿宋" w:hAnsi="仿宋" w:eastAsia="仿宋" w:cs="仿宋"/>
              <w:bCs/>
              <w:kern w:val="44"/>
              <w:sz w:val="28"/>
              <w:szCs w:val="28"/>
              <w:lang w:val="en-US" w:eastAsia="zh-CN"/>
            </w:rPr>
            <w:t>人员密集场所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_Toc11914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_Toc6816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附件6新城区应急避险场所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_Toc6816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_Toc2110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附件7新城区主要救治医院信息表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_Toc2110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_Toc9391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附件8新城区大型超市和亿元以上商品交易市场统计表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_Toc9391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_Toc28335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附件9新城区文化场所统计表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_Toc28335 \h </w:instrText>
          </w:r>
          <w:r>
            <w:rPr>
              <w:rFonts w:hint="eastAsia" w:ascii="仿宋" w:hAnsi="仿宋" w:eastAsia="仿宋" w:cs="仿宋"/>
              <w:sz w:val="28"/>
              <w:szCs w:val="28"/>
            </w:rPr>
            <w:fldChar w:fldCharType="separate"/>
          </w:r>
          <w:r>
            <w:rPr>
              <w:rFonts w:hint="eastAsia" w:ascii="仿宋" w:hAnsi="仿宋" w:eastAsia="仿宋" w:cs="仿宋"/>
              <w:sz w:val="28"/>
              <w:szCs w:val="28"/>
            </w:rPr>
            <w:t>45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3"/>
            <w:tabs>
              <w:tab w:val="right" w:leader="dot" w:pos="8306"/>
            </w:tabs>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_Toc1321 </w:instrText>
          </w:r>
          <w:r>
            <w:rPr>
              <w:rFonts w:hint="eastAsia" w:ascii="仿宋" w:hAnsi="仿宋" w:eastAsia="仿宋" w:cs="仿宋"/>
              <w:sz w:val="28"/>
              <w:szCs w:val="28"/>
            </w:rPr>
            <w:fldChar w:fldCharType="separate"/>
          </w:r>
          <w:r>
            <w:rPr>
              <w:rFonts w:hint="eastAsia" w:ascii="仿宋" w:hAnsi="仿宋" w:eastAsia="仿宋" w:cs="仿宋"/>
              <w:bCs/>
              <w:kern w:val="44"/>
              <w:sz w:val="28"/>
              <w:szCs w:val="28"/>
              <w:lang w:val="en-US" w:eastAsia="zh-CN"/>
            </w:rPr>
            <w:t>附件10专家评审意见</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_Toc1321 \h </w:instrText>
          </w:r>
          <w:r>
            <w:rPr>
              <w:rFonts w:hint="eastAsia" w:ascii="仿宋" w:hAnsi="仿宋" w:eastAsia="仿宋" w:cs="仿宋"/>
              <w:sz w:val="28"/>
              <w:szCs w:val="28"/>
            </w:rPr>
            <w:fldChar w:fldCharType="separate"/>
          </w:r>
          <w:r>
            <w:rPr>
              <w:rFonts w:hint="eastAsia" w:ascii="仿宋" w:hAnsi="仿宋" w:eastAsia="仿宋" w:cs="仿宋"/>
              <w:sz w:val="28"/>
              <w:szCs w:val="28"/>
            </w:rPr>
            <w:t>47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2"/>
            <w:adjustRightInd w:val="0"/>
            <w:snapToGrid w:val="0"/>
            <w:spacing w:line="360" w:lineRule="auto"/>
            <w:rPr>
              <w:rFonts w:ascii="仿宋" w:hAnsi="仿宋" w:eastAsia="仿宋" w:cs="仿宋"/>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szCs w:val="56"/>
            </w:rPr>
            <w:fldChar w:fldCharType="end"/>
          </w:r>
        </w:p>
      </w:sdtContent>
    </w:sdt>
    <w:p>
      <w:pPr>
        <w:pStyle w:val="2"/>
        <w:keepNext/>
        <w:keepLines/>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rPr>
          <w:rFonts w:hAnsi="黑体" w:cs="黑体"/>
          <w:b w:val="0"/>
          <w:bCs/>
        </w:rPr>
      </w:pPr>
      <w:bookmarkStart w:id="0" w:name="_Toc32076"/>
      <w:r>
        <w:rPr>
          <w:rFonts w:hint="eastAsia" w:hAnsi="黑体" w:cs="黑体"/>
          <w:b w:val="0"/>
          <w:bCs/>
        </w:rPr>
        <w:t>1总则</w:t>
      </w:r>
      <w:bookmarkEnd w:id="0"/>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outlineLvl w:val="1"/>
        <w:rPr>
          <w:rFonts w:ascii="黑体" w:hAnsi="黑体" w:eastAsia="黑体" w:cs="黑体"/>
          <w:bCs/>
          <w:kern w:val="44"/>
          <w:sz w:val="32"/>
          <w:szCs w:val="44"/>
        </w:rPr>
      </w:pPr>
      <w:bookmarkStart w:id="1" w:name="_Toc15737"/>
      <w:r>
        <w:rPr>
          <w:rFonts w:hint="eastAsia" w:ascii="黑体" w:hAnsi="黑体" w:eastAsia="黑体" w:cs="黑体"/>
          <w:bCs/>
          <w:kern w:val="44"/>
          <w:sz w:val="32"/>
          <w:szCs w:val="44"/>
        </w:rPr>
        <w:t>1.1编制目的</w:t>
      </w:r>
      <w:bookmarkEnd w:id="1"/>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rPr>
          <w:rFonts w:ascii="仿宋" w:hAnsi="仿宋" w:eastAsia="仿宋" w:cs="仿宋"/>
          <w:bCs/>
          <w:sz w:val="32"/>
          <w:szCs w:val="32"/>
        </w:rPr>
      </w:pPr>
      <w:r>
        <w:rPr>
          <w:rFonts w:hint="eastAsia" w:ascii="仿宋_GB2312" w:hAnsi="仿宋_GB2312" w:eastAsia="仿宋_GB2312" w:cs="仿宋_GB2312"/>
          <w:color w:val="000000"/>
          <w:sz w:val="32"/>
          <w:szCs w:val="32"/>
        </w:rPr>
        <w:t>以习近平新时代中国特色社会主义思想为指导，深入贯彻落实习近平总书记关于防范化解重大安全风险和防灾减灾救灾重要论述，保障本地区地震应急工作依法及时、高效、有序开展，提高应对地震事件的能力，最大程度减少人员伤亡、经济损失和社会影响，维护社会正常秩序</w:t>
      </w:r>
      <w:r>
        <w:rPr>
          <w:rFonts w:hint="eastAsia" w:ascii="仿宋" w:hAnsi="仿宋" w:eastAsia="仿宋" w:cs="仿宋"/>
          <w:bCs/>
          <w:sz w:val="32"/>
          <w:szCs w:val="32"/>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outlineLvl w:val="1"/>
        <w:rPr>
          <w:rFonts w:hint="default" w:ascii="黑体" w:hAnsi="黑体" w:eastAsia="黑体" w:cs="黑体"/>
          <w:bCs/>
          <w:kern w:val="44"/>
          <w:sz w:val="32"/>
          <w:szCs w:val="44"/>
          <w:lang w:val="en-US" w:eastAsia="zh-CN"/>
        </w:rPr>
      </w:pPr>
      <w:bookmarkStart w:id="2" w:name="_Toc6531"/>
      <w:r>
        <w:rPr>
          <w:rFonts w:hint="eastAsia" w:ascii="黑体" w:hAnsi="黑体" w:eastAsia="黑体" w:cs="黑体"/>
          <w:bCs/>
          <w:kern w:val="44"/>
          <w:sz w:val="32"/>
          <w:szCs w:val="44"/>
        </w:rPr>
        <w:t>1.2</w:t>
      </w:r>
      <w:r>
        <w:rPr>
          <w:rFonts w:hint="eastAsia" w:ascii="黑体" w:hAnsi="黑体" w:eastAsia="黑体" w:cs="黑体"/>
          <w:bCs/>
          <w:kern w:val="44"/>
          <w:sz w:val="32"/>
          <w:szCs w:val="44"/>
          <w:lang w:val="en-US" w:eastAsia="zh-CN"/>
        </w:rPr>
        <w:t>编制依据</w:t>
      </w:r>
      <w:bookmarkEnd w:id="2"/>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9"/>
        <w:rPr>
          <w:rFonts w:hint="eastAsia" w:ascii="仿宋_GB2312" w:hAnsi="仿宋_GB2312" w:eastAsia="仿宋_GB2312" w:cs="仿宋_GB2312"/>
          <w:bCs/>
          <w:kern w:val="44"/>
          <w:sz w:val="32"/>
          <w:szCs w:val="44"/>
          <w:lang w:val="en-US" w:eastAsia="zh-CN"/>
        </w:rPr>
      </w:pPr>
      <w:r>
        <w:rPr>
          <w:rFonts w:hint="eastAsia" w:ascii="仿宋_GB2312" w:hAnsi="仿宋_GB2312" w:eastAsia="仿宋_GB2312" w:cs="仿宋_GB2312"/>
          <w:color w:val="auto"/>
          <w:sz w:val="32"/>
          <w:szCs w:val="32"/>
        </w:rPr>
        <w:t>依据《中华人民共和国突发事件应对法》《中华人民共和国防震减灾法》《破坏性地震应急条例》《国家地震应急预案》《内蒙古自治区防震减灾条例》《内蒙古自治区自然灾害救助应急预案》《内蒙古自治区地震应急预案》《内蒙古自治区地震预警管理办法》《内蒙古自治区地震应急预案管理办法》《呼和浩特市</w:t>
      </w:r>
      <w:r>
        <w:rPr>
          <w:rFonts w:hint="eastAsia" w:ascii="仿宋_GB2312" w:hAnsi="仿宋_GB2312" w:eastAsia="仿宋_GB2312" w:cs="仿宋_GB2312"/>
          <w:color w:val="auto"/>
          <w:sz w:val="32"/>
          <w:szCs w:val="32"/>
          <w:lang w:val="en-US" w:eastAsia="zh-CN"/>
        </w:rPr>
        <w:t>地震应急</w:t>
      </w:r>
      <w:r>
        <w:rPr>
          <w:rFonts w:hint="eastAsia" w:ascii="仿宋_GB2312" w:hAnsi="仿宋_GB2312" w:eastAsia="仿宋_GB2312" w:cs="仿宋_GB2312"/>
          <w:color w:val="auto"/>
          <w:sz w:val="32"/>
          <w:szCs w:val="32"/>
        </w:rPr>
        <w:t>预案》</w:t>
      </w:r>
      <w:r>
        <w:rPr>
          <w:rFonts w:hint="eastAsia" w:ascii="仿宋_GB2312" w:hAnsi="仿宋_GB2312" w:eastAsia="仿宋_GB2312" w:cs="仿宋_GB2312"/>
          <w:color w:val="auto"/>
          <w:sz w:val="32"/>
          <w:szCs w:val="32"/>
          <w:lang w:val="en-US" w:eastAsia="zh-CN"/>
        </w:rPr>
        <w:t>《新城区突发公共事件总体应急预案》</w:t>
      </w:r>
      <w:r>
        <w:rPr>
          <w:rFonts w:hint="eastAsia" w:ascii="仿宋_GB2312" w:hAnsi="仿宋_GB2312" w:eastAsia="仿宋_GB2312" w:cs="仿宋_GB2312"/>
          <w:color w:val="auto"/>
          <w:sz w:val="32"/>
          <w:szCs w:val="32"/>
        </w:rPr>
        <w:t>等法律、法规和文件，结合我</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实际，制定本预案</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outlineLvl w:val="1"/>
        <w:rPr>
          <w:rFonts w:hint="eastAsia" w:ascii="黑体" w:hAnsi="黑体" w:eastAsia="黑体" w:cs="黑体"/>
          <w:bCs/>
          <w:kern w:val="44"/>
          <w:sz w:val="32"/>
          <w:szCs w:val="44"/>
        </w:rPr>
      </w:pPr>
      <w:bookmarkStart w:id="3" w:name="_Toc19938"/>
      <w:r>
        <w:rPr>
          <w:rFonts w:hint="eastAsia" w:ascii="黑体" w:hAnsi="黑体" w:eastAsia="黑体" w:cs="黑体"/>
          <w:bCs/>
          <w:kern w:val="44"/>
          <w:sz w:val="32"/>
          <w:szCs w:val="44"/>
          <w:lang w:val="en-US" w:eastAsia="zh-CN"/>
        </w:rPr>
        <w:t>1.3</w:t>
      </w:r>
      <w:r>
        <w:rPr>
          <w:rFonts w:hint="eastAsia" w:ascii="黑体" w:hAnsi="黑体" w:eastAsia="黑体" w:cs="黑体"/>
          <w:bCs/>
          <w:kern w:val="44"/>
          <w:sz w:val="32"/>
          <w:szCs w:val="44"/>
        </w:rPr>
        <w:t>适用范围</w:t>
      </w:r>
      <w:bookmarkEnd w:id="3"/>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9"/>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本预案适用于</w:t>
      </w:r>
      <w:r>
        <w:rPr>
          <w:rFonts w:hint="eastAsia" w:ascii="仿宋_GB2312" w:hAnsi="仿宋_GB2312" w:eastAsia="仿宋_GB2312" w:cs="仿宋_GB2312"/>
          <w:color w:val="auto"/>
          <w:sz w:val="32"/>
          <w:szCs w:val="32"/>
          <w:lang w:val="en-US" w:eastAsia="zh-CN"/>
        </w:rPr>
        <w:t>新城区</w:t>
      </w:r>
      <w:r>
        <w:rPr>
          <w:rFonts w:hint="eastAsia" w:ascii="仿宋_GB2312" w:hAnsi="仿宋_GB2312" w:eastAsia="仿宋_GB2312" w:cs="仿宋_GB2312"/>
          <w:color w:val="auto"/>
          <w:sz w:val="32"/>
          <w:szCs w:val="32"/>
        </w:rPr>
        <w:t>行政区域内发生地震灾害，以及其他相邻地区发生的可能对</w:t>
      </w:r>
      <w:r>
        <w:rPr>
          <w:rFonts w:hint="eastAsia" w:ascii="仿宋_GB2312" w:hAnsi="仿宋_GB2312" w:eastAsia="仿宋_GB2312" w:cs="仿宋_GB2312"/>
          <w:color w:val="auto"/>
          <w:sz w:val="32"/>
          <w:szCs w:val="32"/>
          <w:lang w:val="en-US" w:eastAsia="zh-CN"/>
        </w:rPr>
        <w:t>新城区</w:t>
      </w:r>
      <w:r>
        <w:rPr>
          <w:rFonts w:hint="eastAsia" w:ascii="仿宋_GB2312" w:hAnsi="仿宋_GB2312" w:eastAsia="仿宋_GB2312" w:cs="仿宋_GB2312"/>
          <w:color w:val="auto"/>
          <w:sz w:val="32"/>
          <w:szCs w:val="32"/>
        </w:rPr>
        <w:t>造成影响的破坏性地震的应对和处置工作。</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outlineLvl w:val="1"/>
        <w:rPr>
          <w:rFonts w:hint="eastAsia" w:ascii="黑体" w:hAnsi="黑体" w:eastAsia="黑体" w:cs="黑体"/>
          <w:bCs/>
          <w:kern w:val="44"/>
          <w:sz w:val="32"/>
          <w:szCs w:val="44"/>
          <w:lang w:val="en-US" w:eastAsia="zh-CN"/>
        </w:rPr>
      </w:pPr>
      <w:bookmarkStart w:id="4" w:name="_Toc15557"/>
      <w:bookmarkStart w:id="5" w:name="_Toc5158"/>
      <w:bookmarkStart w:id="6" w:name="_Toc2761"/>
      <w:r>
        <w:rPr>
          <w:rFonts w:hint="eastAsia" w:ascii="黑体" w:hAnsi="黑体" w:eastAsia="黑体" w:cs="黑体"/>
          <w:bCs/>
          <w:kern w:val="44"/>
          <w:sz w:val="32"/>
          <w:szCs w:val="44"/>
          <w:lang w:val="en-US" w:eastAsia="zh-CN"/>
        </w:rPr>
        <w:t>1.4应急工作原则</w:t>
      </w:r>
      <w:bookmarkEnd w:id="4"/>
      <w:bookmarkEnd w:id="5"/>
      <w:bookmarkEnd w:id="6"/>
    </w:p>
    <w:p>
      <w:pPr>
        <w:ind w:firstLine="645"/>
        <w:rPr>
          <w:rFonts w:ascii="仿宋" w:hAnsi="仿宋" w:eastAsia="仿宋" w:cs="仿宋"/>
          <w:bCs/>
          <w:sz w:val="32"/>
          <w:szCs w:val="32"/>
        </w:rPr>
      </w:pPr>
      <w:r>
        <w:rPr>
          <w:rFonts w:hint="eastAsia" w:ascii="仿宋_GB2312" w:hAnsi="仿宋_GB2312" w:eastAsia="仿宋_GB2312" w:cs="仿宋_GB2312"/>
          <w:color w:val="000000"/>
          <w:sz w:val="32"/>
          <w:szCs w:val="32"/>
        </w:rPr>
        <w:t>地震应急与抗震救灾坚持统一领导、军地联动，分级负责、属地为主，资源共享、快速反应；坚持人民至上、生命至上，最大程度减少人员伤亡和经济损失。地震灾害发生后，在区委、区政府的统一领导和指挥下，本区各级人民政府和有关部门按照职责分工密切配合、信息共享、资源互通、协同行动，共同做好应急处置工作</w:t>
      </w:r>
      <w:r>
        <w:rPr>
          <w:rFonts w:hint="eastAsia" w:ascii="仿宋_GB2312" w:hAnsi="仿宋_GB2312" w:eastAsia="仿宋_GB2312" w:cs="仿宋_GB2312"/>
          <w:bCs/>
          <w:sz w:val="32"/>
          <w:szCs w:val="32"/>
        </w:rPr>
        <w:t>。</w:t>
      </w:r>
      <w:bookmarkStart w:id="7" w:name="_Toc30401"/>
    </w:p>
    <w:bookmarkEnd w:id="7"/>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outlineLvl w:val="0"/>
        <w:rPr>
          <w:rFonts w:hint="eastAsia" w:ascii="黑体" w:hAnsi="黑体" w:eastAsia="黑体" w:cs="黑体"/>
          <w:bCs/>
          <w:kern w:val="44"/>
          <w:sz w:val="32"/>
          <w:szCs w:val="44"/>
          <w:lang w:val="en-US" w:eastAsia="zh-CN"/>
        </w:rPr>
      </w:pPr>
      <w:bookmarkStart w:id="8" w:name="_Toc3266"/>
      <w:bookmarkStart w:id="9" w:name="_Toc23465"/>
      <w:bookmarkStart w:id="10" w:name="_Toc23497"/>
      <w:r>
        <w:rPr>
          <w:rFonts w:hint="eastAsia" w:ascii="黑体" w:hAnsi="黑体" w:eastAsia="黑体" w:cs="黑体"/>
          <w:bCs/>
          <w:kern w:val="44"/>
          <w:sz w:val="32"/>
          <w:szCs w:val="44"/>
          <w:lang w:val="en-US" w:eastAsia="zh-CN"/>
        </w:rPr>
        <w:t>2</w:t>
      </w:r>
      <w:bookmarkEnd w:id="8"/>
      <w:r>
        <w:rPr>
          <w:rFonts w:hint="eastAsia" w:ascii="黑体" w:hAnsi="黑体" w:eastAsia="黑体" w:cs="黑体"/>
          <w:bCs/>
          <w:kern w:val="44"/>
          <w:sz w:val="32"/>
          <w:szCs w:val="44"/>
          <w:lang w:val="en-US" w:eastAsia="zh-CN"/>
        </w:rPr>
        <w:t>组织</w:t>
      </w:r>
      <w:bookmarkEnd w:id="9"/>
      <w:r>
        <w:rPr>
          <w:rFonts w:hint="eastAsia" w:ascii="黑体" w:hAnsi="黑体" w:eastAsia="黑体" w:cs="黑体"/>
          <w:bCs/>
          <w:kern w:val="44"/>
          <w:sz w:val="32"/>
          <w:szCs w:val="44"/>
          <w:lang w:val="en-US" w:eastAsia="zh-CN"/>
        </w:rPr>
        <w:t>机构与职责</w:t>
      </w:r>
      <w:bookmarkEnd w:id="10"/>
    </w:p>
    <w:p>
      <w:pPr>
        <w:spacing w:line="360" w:lineRule="auto"/>
        <w:ind w:firstLine="640" w:firstLineChars="200"/>
        <w:rPr>
          <w:rFonts w:ascii="仿宋" w:hAnsi="仿宋" w:eastAsia="仿宋" w:cs="仿宋"/>
          <w:color w:val="FF0000"/>
          <w:sz w:val="32"/>
          <w:szCs w:val="32"/>
        </w:rPr>
      </w:pPr>
      <w:bookmarkStart w:id="11" w:name="_Toc17333"/>
      <w:r>
        <w:rPr>
          <w:rFonts w:hint="eastAsia" w:ascii="仿宋_GB2312" w:hAnsi="仿宋_GB2312" w:eastAsia="仿宋_GB2312" w:cs="仿宋_GB2312"/>
          <w:color w:val="auto"/>
          <w:sz w:val="32"/>
          <w:szCs w:val="32"/>
          <w:lang w:val="en-US" w:eastAsia="zh-CN"/>
        </w:rPr>
        <w:t>新城区</w:t>
      </w:r>
      <w:r>
        <w:rPr>
          <w:rFonts w:hint="eastAsia" w:ascii="仿宋_GB2312" w:hAnsi="仿宋_GB2312" w:eastAsia="仿宋_GB2312" w:cs="仿宋_GB2312"/>
          <w:color w:val="auto"/>
          <w:sz w:val="32"/>
          <w:szCs w:val="32"/>
        </w:rPr>
        <w:t>抗震救灾指挥部是</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政府抗震救灾和地震应急处置工作的指挥和协调机构，在</w:t>
      </w:r>
      <w:r>
        <w:rPr>
          <w:rFonts w:hint="eastAsia" w:ascii="仿宋_GB2312" w:hAnsi="仿宋_GB2312" w:eastAsia="仿宋_GB2312" w:cs="仿宋_GB2312"/>
          <w:color w:val="auto"/>
          <w:sz w:val="32"/>
          <w:szCs w:val="32"/>
          <w:lang w:val="en-US" w:eastAsia="zh-CN"/>
        </w:rPr>
        <w:t>区委、区</w:t>
      </w:r>
      <w:r>
        <w:rPr>
          <w:rFonts w:hint="eastAsia" w:ascii="仿宋_GB2312" w:hAnsi="仿宋_GB2312" w:eastAsia="仿宋_GB2312" w:cs="仿宋_GB2312"/>
          <w:color w:val="auto"/>
          <w:sz w:val="32"/>
          <w:szCs w:val="32"/>
        </w:rPr>
        <w:t>政府和上级抗震救灾指挥机构的共同领导下，统一领导、指挥、部署和协调全市抗震救灾及地震应急处置工作</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outlineLvl w:val="1"/>
        <w:rPr>
          <w:rFonts w:hint="eastAsia" w:ascii="黑体" w:hAnsi="黑体" w:eastAsia="黑体" w:cs="黑体"/>
          <w:bCs/>
          <w:kern w:val="44"/>
          <w:sz w:val="32"/>
          <w:szCs w:val="44"/>
          <w:lang w:val="en-US" w:eastAsia="zh-CN"/>
        </w:rPr>
      </w:pPr>
      <w:bookmarkStart w:id="12" w:name="_Toc19615"/>
      <w:r>
        <w:rPr>
          <w:rFonts w:hint="eastAsia" w:ascii="黑体" w:hAnsi="黑体" w:eastAsia="黑体" w:cs="黑体"/>
          <w:bCs/>
          <w:kern w:val="44"/>
          <w:sz w:val="32"/>
          <w:szCs w:val="44"/>
          <w:lang w:val="en-US" w:eastAsia="zh-CN"/>
        </w:rPr>
        <w:t>2.1抗震救灾指挥部</w:t>
      </w:r>
      <w:bookmarkEnd w:id="12"/>
    </w:p>
    <w:p>
      <w:pPr>
        <w:spacing w:line="360" w:lineRule="auto"/>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w:t>
      </w:r>
      <w:bookmarkEnd w:id="11"/>
      <w:r>
        <w:rPr>
          <w:rFonts w:hint="eastAsia" w:ascii="仿宋_GB2312" w:hAnsi="仿宋_GB2312" w:eastAsia="仿宋_GB2312" w:cs="仿宋_GB2312"/>
          <w:sz w:val="32"/>
          <w:szCs w:val="32"/>
        </w:rPr>
        <w:t>.1抗震救灾</w:t>
      </w:r>
      <w:r>
        <w:rPr>
          <w:rFonts w:hint="eastAsia" w:ascii="仿宋_GB2312" w:hAnsi="仿宋_GB2312" w:eastAsia="仿宋_GB2312" w:cs="仿宋_GB2312"/>
          <w:bCs/>
          <w:kern w:val="44"/>
          <w:sz w:val="32"/>
          <w:szCs w:val="32"/>
        </w:rPr>
        <w:t>指挥部组成</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总指挥：区长</w:t>
      </w:r>
    </w:p>
    <w:p>
      <w:pPr>
        <w:ind w:firstLine="640" w:firstLineChars="200"/>
        <w:rPr>
          <w:rFonts w:hint="default"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常务副总指挥：</w:t>
      </w:r>
      <w:r>
        <w:rPr>
          <w:rFonts w:hint="eastAsia" w:ascii="仿宋_GB2312" w:hAnsi="仿宋_GB2312" w:eastAsia="仿宋_GB2312" w:cs="仿宋_GB2312"/>
          <w:color w:val="000000"/>
          <w:sz w:val="32"/>
          <w:szCs w:val="32"/>
        </w:rPr>
        <w:t>分管应急管理工作的副区长、</w:t>
      </w:r>
    </w:p>
    <w:p>
      <w:pPr>
        <w:ind w:firstLine="640" w:firstLineChars="200"/>
        <w:rPr>
          <w:rFonts w:hint="eastAsia" w:ascii="仿宋_GB2312" w:hAnsi="仿宋_GB2312" w:eastAsia="仿宋_GB2312" w:cs="仿宋_GB2312"/>
          <w:color w:val="000000"/>
          <w:sz w:val="32"/>
          <w:szCs w:val="32"/>
          <w:lang w:val="en-US"/>
        </w:rPr>
      </w:pPr>
      <w:r>
        <w:rPr>
          <w:rFonts w:hint="eastAsia" w:ascii="仿宋_GB2312" w:hAnsi="仿宋_GB2312" w:eastAsia="仿宋_GB2312" w:cs="仿宋_GB2312"/>
          <w:color w:val="000000"/>
          <w:sz w:val="32"/>
          <w:szCs w:val="32"/>
        </w:rPr>
        <w:t>副总指挥：</w:t>
      </w:r>
      <w:r>
        <w:rPr>
          <w:rFonts w:hint="eastAsia" w:ascii="仿宋_GB2312" w:hAnsi="仿宋_GB2312" w:eastAsia="仿宋_GB2312" w:cs="仿宋_GB2312"/>
          <w:color w:val="000000"/>
          <w:sz w:val="32"/>
          <w:szCs w:val="32"/>
          <w:lang w:val="en-US" w:eastAsia="zh-CN"/>
        </w:rPr>
        <w:t>宣传部部长、公安分局局长、</w:t>
      </w:r>
      <w:r>
        <w:rPr>
          <w:rFonts w:hint="eastAsia" w:ascii="仿宋_GB2312" w:hAnsi="仿宋_GB2312" w:eastAsia="仿宋_GB2312" w:cs="仿宋_GB2312"/>
          <w:color w:val="000000"/>
          <w:sz w:val="32"/>
          <w:szCs w:val="32"/>
        </w:rPr>
        <w:t>区政府办公室主任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应急管理局局长、发改委主任</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成员单位：区委宣传部、武装部、应急管理局、民政局、发改委、教育局、公安分局、财政局、</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"http://www.bjft.gov.cn/ftq/c100003pu/jgxxcontent.shtml" \t "http://www.bjft.gov.cn/ftq/c100003pu/_parent"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color w:val="000000"/>
          <w:sz w:val="32"/>
          <w:szCs w:val="32"/>
        </w:rPr>
        <w:t>自然资源</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分局、生态环境分局、住建局、交管大队、农水局、林草分局、卫健委、审计局、</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"http://www.bjft.gov.cn/ftq/c100003de/jgxxcontent.shtml" \t "http://www.bjft.gov.cn/ftq/c100003de/_parent"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color w:val="000000"/>
          <w:sz w:val="32"/>
          <w:szCs w:val="32"/>
        </w:rPr>
        <w:t>市场监管局</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、文体</w:t>
      </w:r>
      <w:r>
        <w:rPr>
          <w:rFonts w:hint="eastAsia" w:ascii="仿宋_GB2312" w:hAnsi="仿宋_GB2312" w:eastAsia="仿宋_GB2312" w:cs="仿宋_GB2312"/>
          <w:color w:val="000000"/>
          <w:sz w:val="32"/>
          <w:szCs w:val="32"/>
          <w:lang w:val="en-US" w:eastAsia="zh-CN"/>
        </w:rPr>
        <w:t>旅</w:t>
      </w:r>
      <w:r>
        <w:rPr>
          <w:rFonts w:hint="eastAsia" w:ascii="仿宋_GB2312" w:hAnsi="仿宋_GB2312" w:eastAsia="仿宋_GB2312" w:cs="仿宋_GB2312"/>
          <w:color w:val="auto"/>
          <w:sz w:val="32"/>
          <w:szCs w:val="32"/>
          <w:lang w:val="en-US" w:eastAsia="zh-CN"/>
        </w:rPr>
        <w:t>游</w:t>
      </w:r>
      <w:r>
        <w:rPr>
          <w:rFonts w:hint="eastAsia" w:ascii="仿宋_GB2312" w:hAnsi="仿宋_GB2312" w:eastAsia="仿宋_GB2312" w:cs="仿宋_GB2312"/>
          <w:color w:val="auto"/>
          <w:sz w:val="32"/>
          <w:szCs w:val="32"/>
        </w:rPr>
        <w:t>广电局、新城供电分</w:t>
      </w:r>
      <w:r>
        <w:rPr>
          <w:rFonts w:hint="eastAsia" w:ascii="仿宋_GB2312" w:hAnsi="仿宋_GB2312" w:eastAsia="仿宋_GB2312" w:cs="仿宋_GB2312"/>
          <w:color w:val="auto"/>
          <w:sz w:val="32"/>
          <w:szCs w:val="32"/>
          <w:lang w:val="en-US" w:eastAsia="zh-CN"/>
        </w:rPr>
        <w:t>公司</w:t>
      </w:r>
      <w:r>
        <w:rPr>
          <w:rFonts w:hint="eastAsia" w:ascii="仿宋_GB2312" w:hAnsi="仿宋_GB2312" w:eastAsia="仿宋_GB2312" w:cs="仿宋_GB2312"/>
          <w:color w:val="auto"/>
          <w:sz w:val="32"/>
          <w:szCs w:val="32"/>
        </w:rPr>
        <w:t>、鸿盛供电</w:t>
      </w:r>
      <w:r>
        <w:rPr>
          <w:rFonts w:hint="eastAsia" w:ascii="仿宋_GB2312" w:hAnsi="仿宋_GB2312" w:eastAsia="仿宋_GB2312" w:cs="仿宋_GB2312"/>
          <w:color w:val="auto"/>
          <w:sz w:val="32"/>
          <w:szCs w:val="32"/>
          <w:lang w:val="en-US" w:eastAsia="zh-CN"/>
        </w:rPr>
        <w:t>分公司</w:t>
      </w:r>
      <w:r>
        <w:rPr>
          <w:rFonts w:hint="eastAsia" w:ascii="仿宋_GB2312" w:hAnsi="仿宋_GB2312" w:eastAsia="仿宋_GB2312" w:cs="仿宋_GB2312"/>
          <w:color w:val="auto"/>
          <w:sz w:val="32"/>
          <w:szCs w:val="32"/>
        </w:rPr>
        <w:t>、气象分局、统计局、消防救援大队、工信局、融媒体中心、红十字会、镇（街道）</w:t>
      </w:r>
      <w:r>
        <w:rPr>
          <w:rFonts w:hint="eastAsia" w:ascii="仿宋_GB2312" w:hAnsi="仿宋_GB2312" w:eastAsia="仿宋_GB2312" w:cs="仿宋_GB2312"/>
          <w:color w:val="000000"/>
          <w:sz w:val="32"/>
          <w:szCs w:val="32"/>
        </w:rPr>
        <w:t>、区域服务中心。</w:t>
      </w:r>
    </w:p>
    <w:p>
      <w:pPr>
        <w:spacing w:line="360" w:lineRule="auto"/>
        <w:ind w:firstLine="640" w:firstLineChars="200"/>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2.1.2抗震救灾指挥部职责</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贯彻落实党中央、国务院、内蒙古自治区、呼和浩特市和区委、区政府关于抗震救灾工作的决策部署。负责部署指挥本区行政区域内地震事件的应对工作，主要包括：研究制定应对地震事件的政策措施和指导意见；负责指挥协调区有关部门和镇（街道）、区域服务中心开展应急处置工作；分析总结地震事件应对工作；</w:t>
      </w:r>
      <w:r>
        <w:rPr>
          <w:rFonts w:hint="eastAsia" w:ascii="仿宋_GB2312" w:hAnsi="仿宋_GB2312" w:eastAsia="仿宋_GB2312" w:cs="仿宋_GB2312"/>
          <w:color w:val="000000"/>
          <w:sz w:val="32"/>
          <w:szCs w:val="32"/>
          <w:lang w:val="en-US" w:eastAsia="zh-CN"/>
        </w:rPr>
        <w:t>负责协调</w:t>
      </w:r>
      <w:r>
        <w:rPr>
          <w:rFonts w:hint="eastAsia" w:ascii="仿宋_GB2312" w:hAnsi="仿宋_GB2312" w:eastAsia="仿宋_GB2312" w:cs="仿宋_GB2312"/>
          <w:color w:val="000000"/>
          <w:sz w:val="32"/>
          <w:szCs w:val="32"/>
        </w:rPr>
        <w:t>应急救援专业队伍、应急救援社会力量、应急避难场所的管理；负责应急物资的保障工作。</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outlineLvl w:val="1"/>
        <w:rPr>
          <w:rFonts w:hint="eastAsia" w:ascii="黑体" w:hAnsi="黑体" w:eastAsia="黑体" w:cs="黑体"/>
          <w:bCs/>
          <w:kern w:val="44"/>
          <w:sz w:val="32"/>
          <w:szCs w:val="44"/>
          <w:lang w:val="en-US" w:eastAsia="zh-CN"/>
        </w:rPr>
      </w:pPr>
      <w:bookmarkStart w:id="13" w:name="_Toc7594"/>
      <w:r>
        <w:rPr>
          <w:rFonts w:hint="eastAsia" w:ascii="黑体" w:hAnsi="黑体" w:eastAsia="黑体" w:cs="黑体"/>
          <w:bCs/>
          <w:kern w:val="44"/>
          <w:sz w:val="32"/>
          <w:szCs w:val="44"/>
          <w:lang w:val="en-US" w:eastAsia="zh-CN"/>
        </w:rPr>
        <w:t>2.2抗震救灾指挥部办公室及职责</w:t>
      </w:r>
      <w:bookmarkEnd w:id="13"/>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抗震救灾指挥部办公室设在区应急管理局，主任由区应急管理局局长担任，副主任由区应急管理局主管副局长担任。主要职责是：</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（1）迅速了解、收集、汇总震情、灾情、应急救援情况，并及时向指挥部报告；</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（2）向指挥部提出地震灾害的应急响应级别；</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（3）负责与指挥部成员单位联系，下达指挥部命令、通令和要求；</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（4）配合自治区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市</w:t>
      </w:r>
      <w:r>
        <w:rPr>
          <w:rFonts w:hint="eastAsia" w:ascii="仿宋_GB2312" w:hAnsi="仿宋_GB2312" w:eastAsia="仿宋_GB2312" w:cs="仿宋_GB2312"/>
          <w:color w:val="000000"/>
          <w:sz w:val="32"/>
          <w:szCs w:val="32"/>
        </w:rPr>
        <w:t>有关部门组织地震灾害损失调查和快速评估；</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rPr>
      </w:pPr>
      <w:r>
        <w:rPr>
          <w:rFonts w:hint="eastAsia" w:ascii="仿宋" w:hAnsi="仿宋" w:eastAsia="仿宋" w:cs="仿宋"/>
          <w:color w:val="000000"/>
          <w:sz w:val="32"/>
          <w:szCs w:val="32"/>
        </w:rPr>
        <w:t>（</w:t>
      </w:r>
      <w:r>
        <w:rPr>
          <w:rFonts w:hint="eastAsia" w:ascii="仿宋_GB2312" w:hAnsi="仿宋_GB2312" w:eastAsia="仿宋_GB2312" w:cs="仿宋_GB2312"/>
          <w:color w:val="000000"/>
          <w:sz w:val="32"/>
          <w:szCs w:val="32"/>
        </w:rPr>
        <w:t>5）负责审查地震新闻宣传报道，组织抗震救灾新闻发布会；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（6）负责处理指挥部日常事务。</w:t>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line="360" w:lineRule="auto"/>
        <w:ind w:firstLine="640" w:firstLineChars="200"/>
        <w:textAlignment w:val="auto"/>
        <w:outlineLvl w:val="1"/>
        <w:rPr>
          <w:rFonts w:hint="eastAsia" w:ascii="黑体" w:hAnsi="黑体" w:eastAsia="黑体" w:cs="黑体"/>
          <w:bCs/>
          <w:kern w:val="44"/>
          <w:sz w:val="32"/>
          <w:szCs w:val="44"/>
          <w:lang w:val="en-US" w:eastAsia="zh-CN"/>
        </w:rPr>
      </w:pPr>
      <w:bookmarkStart w:id="14" w:name="_Toc22614"/>
      <w:r>
        <w:rPr>
          <w:rFonts w:hint="eastAsia" w:ascii="黑体" w:hAnsi="黑体" w:eastAsia="黑体" w:cs="黑体"/>
          <w:bCs/>
          <w:kern w:val="44"/>
          <w:sz w:val="32"/>
          <w:szCs w:val="44"/>
          <w:lang w:val="en-US" w:eastAsia="zh-CN"/>
        </w:rPr>
        <w:t>2.3成员单位及职责</w:t>
      </w:r>
      <w:bookmarkEnd w:id="14"/>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宣传部：负责组织和协调新闻媒体及时向社会发布减灾救灾信息，做好舆情监测和引导工作。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武装部：负责驻区部队、武警部队协调工作、救助训练和培训；落实地震灾害应急抢险物资储备工作；组织协调驻区部队、武警、民兵、预备役部队参加抗震抢险救灾；根据灾情实际情况，协调军分区、警备区协助应急救援。</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应急管理局：负责灾情核查和信息管理；负责组织、协调减灾救灾工作和地震灾害救助应急体系建设；建立应急协调联动机制；拟定应急救援装备储备和需求计划，组织建立全区应急物资共用共享和协调机制；组织编制全区地震灾害救助应急预案，负责全区地震灾害应急宣传教育和培训工作；承担区抗震救灾指挥部办公室日常工作，协调各成员单位及区地震灾害应急救助专家组织开展减灾救灾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民政局：负责配合相关部门分配救灾款物并监督检查使用情况；指导协调救灾捐赠工作。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发改委：统筹规划，将地震防灾、减灾及救灾应急储备项目建设纳入国民经济和社会发展规划；配合区民政、财政部门制定全区地震灾害救助物资储备规划和储备库规划；建立与其他地区的物资调剂供应渠道，负责灾毁工程恢复重建项目的审批、核准、备案以及灾后重建中央预算内投资计划申报工作等。</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教育局：负责组织教育系统开展地震防灾、减灾、救灾活动；负责教育领域灾情的核实工作，落实相应工作人员并及时上报灾情信息，指导帮助受灾学校恢复正常教学秩序；组织对学生进行防灾减灾知识宣传教育。</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公安分局：负责灾区的现场安全警戒和灾区交通秩序、社会治安维护等工作，依法打击造谣惑众和盗窃、哄抢救助物资等违法犯罪活动；协助组织灾区群众的紧急转移工作；负责重要目标和要害部位的安全保卫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财政局：负责统筹安排地震灾害救助有关经费保障，并做好资金监管工作。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自然资源分局：负责地质灾害防治的组织、协调、指导和监督工作；会同相关部门发布泥石流、滑坡、崩塌等突发地质灾害气象风险预警；协调市自然资源局提供必要的援助。</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生态环境分局：负责组织指导因地震灾害引发的突发环境事件的应急监测，分析研判事故现场污染状况及趋势变化，组织现场废弃物的处置，并向区政府提出相应的建议和措施；负责处置因地震灾害引发的突发环境事件；根据事件发展情况，联系市生态环境局和相关专家提出控制、消除环境污染的指导措施。</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住建局：负责灾区市政道路建设和运行安全管理工作，负责指导监督全区天然气、供热行业隐患排查和灾后重建工作；负责指导建筑工程的抗震设防、灾后群众住房和灾区校舍、卫生院等公共设施恢复重建的规划、设计、质量安全监督工作，为灾区倒损民房恢复重建提供必要的技术支持；负责组织协调市政公用行业（含城市道路桥梁隧道、城市照明、供水、供热、排水、污水处理等）的应急处置和灾情信息上报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交管大队：负责交通管制；负责制定交通疏导预案；负责抢险救灾现场及路线的交通应急保障工作。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农水局：配合应急管理局查核、评估农业、畜牧业因灾损失情况；负责灾区调整农牧业结构、提出农牧业生产救灾资金的分配意见，参与救灾资金管理和发放工作；对种子(种畜禽)、饲草、兽药等救灾物资进行储备、调剂和管理；指导协调灾区做好生产自救、恢复农业生产；负责全区灾后水利、农牧设施修复工作；承担水利工程、农牧工程防守和应急抢险工作；指导全区水利工程设施安全运行管理；负责灾后的农村公路建设和日常养护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林草分局：负责森林和草原地震灾害隐患排查治理，重点控制和防范地震灾害对森林草原次生灾害的影响。</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卫健委：负责组织做好灾区卫生防病和医疗救治工作；负责指导受灾地区卫生部门开展生活饮用水卫生监督监测和卫生知识宣传工作；及时报告地震灾害医疗卫生救援和疫情信息；根据需要及时向灾区派遣医疗防疫专家队伍和支持应急药品，组织心理卫生专家赴灾区开展心理抚慰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审计局：负责对各级、各部门地震灾害救助款物和捐赠款物的管理使用情况进行审计监督。</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"http://www.bjft.gov.cn/ftq/c100003de/jgxxcontent.shtml" \t "http://www.bjft.gov.cn/ftq/c100003de/_parent"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市场监管局</w:t>
      </w:r>
      <w:r>
        <w:rPr>
          <w:rFonts w:hint="eastAsia" w:ascii="仿宋_GB2312" w:hAnsi="仿宋_GB2312" w:eastAsia="仿宋_GB2312" w:cs="仿宋_GB2312"/>
          <w:bCs/>
          <w:sz w:val="32"/>
          <w:szCs w:val="32"/>
        </w:rPr>
        <w:fldChar w:fldCharType="end"/>
      </w:r>
      <w:r>
        <w:rPr>
          <w:rFonts w:hint="eastAsia" w:ascii="仿宋_GB2312" w:hAnsi="仿宋_GB2312" w:eastAsia="仿宋_GB2312" w:cs="仿宋_GB2312"/>
          <w:bCs/>
          <w:sz w:val="32"/>
          <w:szCs w:val="32"/>
        </w:rPr>
        <w:t>：负责组织开展灾区的食品药品安全监管，负责提供救灾物资和捐赠物资的产品质量检测技术服务；负责特种设备、压力容器、压力管道的隐患排查治理和对地震灾害影响的控制和防范。</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文体</w:t>
      </w:r>
      <w:r>
        <w:rPr>
          <w:rFonts w:hint="eastAsia" w:ascii="仿宋_GB2312" w:hAnsi="仿宋_GB2312" w:eastAsia="仿宋_GB2312" w:cs="仿宋_GB2312"/>
          <w:bCs/>
          <w:sz w:val="32"/>
          <w:szCs w:val="32"/>
          <w:lang w:val="en-US" w:eastAsia="zh-CN"/>
        </w:rPr>
        <w:t>旅游</w:t>
      </w:r>
      <w:r>
        <w:rPr>
          <w:rFonts w:hint="eastAsia" w:ascii="仿宋_GB2312" w:hAnsi="仿宋_GB2312" w:eastAsia="仿宋_GB2312" w:cs="仿宋_GB2312"/>
          <w:bCs/>
          <w:sz w:val="32"/>
          <w:szCs w:val="32"/>
        </w:rPr>
        <w:t>广电局：负责景区、饭店、体育场馆地震灾害风险排查，落实景区、饭店、体育场馆应急保障机制的建立；协调指导做好游客的疏散、转移、避险工作；负责协助发布景区灾害预警信息，负责全区旅游行业受灾情况统计报告，负责指导灾区广播、电视系统设施的应急抢修和恢复重建工作，负责统计报告全区广电领域受灾情况。</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新城供电分</w:t>
      </w:r>
      <w:r>
        <w:rPr>
          <w:rFonts w:hint="eastAsia" w:ascii="仿宋_GB2312" w:hAnsi="仿宋_GB2312" w:eastAsia="仿宋_GB2312" w:cs="仿宋_GB2312"/>
          <w:bCs/>
          <w:sz w:val="32"/>
          <w:szCs w:val="32"/>
          <w:lang w:val="en-US" w:eastAsia="zh-CN"/>
        </w:rPr>
        <w:t>公司</w:t>
      </w:r>
      <w:r>
        <w:rPr>
          <w:rFonts w:hint="eastAsia" w:ascii="仿宋_GB2312" w:hAnsi="仿宋_GB2312" w:eastAsia="仿宋_GB2312" w:cs="仿宋_GB2312"/>
          <w:bCs/>
          <w:sz w:val="32"/>
          <w:szCs w:val="32"/>
        </w:rPr>
        <w:t>和鸿盛供电分</w:t>
      </w:r>
      <w:r>
        <w:rPr>
          <w:rFonts w:hint="eastAsia" w:ascii="仿宋_GB2312" w:hAnsi="仿宋_GB2312" w:eastAsia="仿宋_GB2312" w:cs="仿宋_GB2312"/>
          <w:bCs/>
          <w:sz w:val="32"/>
          <w:szCs w:val="32"/>
          <w:lang w:val="en-US" w:eastAsia="zh-CN"/>
        </w:rPr>
        <w:t>公司</w:t>
      </w:r>
      <w:r>
        <w:rPr>
          <w:rFonts w:hint="eastAsia" w:ascii="仿宋_GB2312" w:hAnsi="仿宋_GB2312" w:eastAsia="仿宋_GB2312" w:cs="仿宋_GB2312"/>
          <w:bCs/>
          <w:sz w:val="32"/>
          <w:szCs w:val="32"/>
        </w:rPr>
        <w:t>：负责组织供电系统开展救灾指挥部、医院、灾民安置点等重要部位的供电保障工作；配合相关部门做好电网灾情的核实、统计和上报工作；及时帮助受灾用户恢复用电，维护灾区用电秩序，做好因灾毁坏电网的修复重建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气象分局：组织制订和实施本行政区域气象灾害防御规划；组织本行政区域内气象灾害防御应急管理工作；负责本行政区域内地震灾害保障工作；负责灾害性天气的监测、预报、预警和应急气象服务，提出防御地震灾害的对策与建议；负责组织做好全区人工影响天气作业、农业气象技术服务、气象灾害防御科普宣传等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统计局：负责对灾情统计工作进行业务指导，协助建立和完善灾情统计制度；协助做好灾情统计数据的分析评估。</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消防救援大队：负责组织消防队伍配合各专业队做好地震抢险、营救群众、转移物资等抗震救灾任务；协助做好受灾群众的紧急转移安置、因灾失踪人员的搜救和其他救助工作。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工信局：负责协调全区无线电设施的应急抢修维护，协助做好灾区的通信保障工作；根据实际需要，协调电信运营企业及时采取措施恢复受损的通信线路和设施；协调有关工业产品的应急生产；协调电信运营企业利用公众信息网开展地震灾害应急宣传教育工作，负责加强对全区重要商品市场运行和供求形式的监控，协调救灾和灾后恢复重建物资的组织、供应。</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融媒体中心：负责整合区属媒体资源，开展地震灾害应急宣传教育工作；统筹做好信息发布、新闻宣传等相关工作；利用公众信息网做好积极正面报道，弘扬正能量的宣传工作。</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红十字会：负责组织管理、调配红十字会员、志愿者和救护员参与伤员救治、心理干预等工作；负责对口捐赠款物的接收、发放和管理。</w:t>
      </w:r>
    </w:p>
    <w:p>
      <w:pPr>
        <w:numPr>
          <w:ilvl w:val="0"/>
          <w:numId w:val="1"/>
        </w:numPr>
        <w:ind w:left="-15" w:leftChars="0" w:firstLine="645" w:firstLineChars="0"/>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各镇（街道）、区域服务中心：完善地震灾害救助机制，落实工作人员，做好灾情的信息上报工作；负责组织、协调、实施本辖区内的应急和救助工作；组织受灾群众开展自救互救。</w:t>
      </w:r>
    </w:p>
    <w:p>
      <w:pPr>
        <w:adjustRightInd w:val="0"/>
        <w:snapToGrid w:val="0"/>
        <w:spacing w:line="360" w:lineRule="auto"/>
        <w:ind w:firstLine="640" w:firstLineChars="200"/>
        <w:outlineLvl w:val="1"/>
        <w:rPr>
          <w:rFonts w:ascii="黑体" w:hAnsi="黑体" w:eastAsia="黑体" w:cs="黑体"/>
          <w:bCs/>
          <w:kern w:val="44"/>
          <w:sz w:val="32"/>
          <w:szCs w:val="44"/>
        </w:rPr>
      </w:pPr>
      <w:bookmarkStart w:id="15" w:name="_Toc5529"/>
      <w:r>
        <w:rPr>
          <w:rFonts w:hint="eastAsia" w:ascii="黑体" w:hAnsi="黑体" w:eastAsia="黑体" w:cs="黑体"/>
          <w:bCs/>
          <w:kern w:val="44"/>
          <w:sz w:val="32"/>
          <w:szCs w:val="44"/>
        </w:rPr>
        <w:t>2.4工作组组成及职责</w:t>
      </w:r>
      <w:bookmarkEnd w:id="15"/>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区抗震救灾指挥部设立相应工作组，并根据多灾种叠加影响或其他实际工作需要增加、调整，各组长单位牵头制定本组工作方案。各组主要职责如下：</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（1）灾情信息管理组</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由区</w:t>
      </w:r>
      <w:r>
        <w:rPr>
          <w:rFonts w:hint="eastAsia" w:ascii="仿宋_GB2312" w:hAnsi="仿宋_GB2312" w:eastAsia="仿宋_GB2312" w:cs="仿宋_GB2312"/>
          <w:bCs/>
          <w:sz w:val="32"/>
          <w:szCs w:val="32"/>
          <w:lang w:val="en-US" w:eastAsia="zh-CN"/>
        </w:rPr>
        <w:t>应急管理</w:t>
      </w:r>
      <w:r>
        <w:rPr>
          <w:rFonts w:hint="eastAsia" w:ascii="仿宋_GB2312" w:hAnsi="仿宋_GB2312" w:eastAsia="仿宋_GB2312" w:cs="仿宋_GB2312"/>
          <w:bCs/>
          <w:sz w:val="32"/>
          <w:szCs w:val="32"/>
        </w:rPr>
        <w:t>局牵头，自然资源分局、住建局、生态环境分局、交管大队、工信局、农水局、卫健委、统计局、财政局、林草分局、气象分局、各镇（街道）、区域服务中心参加。</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主要职责：地震灾害信息收集、统计、汇总、分析和报送；派出工作组对灾区人员伤亡、财产损失及各类设施损毁情况进行核实评估；协助宣传引导组统一发布灾情、救灾信息；准备灾区地理信息数据，组织灾区现场影像获取等应急测绘，开展灾情监测和空间分析，提供应急测绘保障服务。</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（2）抢险救援组</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由区应急管理局牵头，公安分局、民政局、武装部、自然资源分局、消防救援大队、各镇（街道）、区域服务中心参加。</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主要职责：负责人员搜救及综合抢险救援工作；组织开展地震次生衍生灾害应急处置工作；组织专业救援队伍和社会救援力量以及其他应急救援队伍、抢救被困群众及财产，转移安置受灾群众。</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（3）生产生活救助组</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由</w:t>
      </w:r>
      <w:r>
        <w:rPr>
          <w:rFonts w:hint="eastAsia" w:ascii="仿宋_GB2312" w:hAnsi="仿宋_GB2312" w:eastAsia="仿宋_GB2312" w:cs="仿宋_GB2312"/>
          <w:bCs/>
          <w:sz w:val="32"/>
          <w:szCs w:val="32"/>
          <w:lang w:val="en-US" w:eastAsia="zh-CN"/>
        </w:rPr>
        <w:t>区</w:t>
      </w:r>
      <w:r>
        <w:rPr>
          <w:rFonts w:hint="eastAsia" w:ascii="仿宋_GB2312" w:hAnsi="仿宋_GB2312" w:eastAsia="仿宋_GB2312" w:cs="仿宋_GB2312"/>
          <w:bCs/>
          <w:sz w:val="32"/>
          <w:szCs w:val="32"/>
        </w:rPr>
        <w:t>应急管理局牵头，民政局、财政局、工信局、交管大队、教育局、农水局、卫健委、市场监管局、发改委、妇联、红十字会、各镇（街道）、区域服务中心、中国铁路呼和浩特局集团有限公司、内蒙古民航机场集团公司、呼和浩特市地铁运营公司参加。</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主要职责：</w:t>
      </w:r>
      <w:r>
        <w:rPr>
          <w:rFonts w:hint="eastAsia" w:ascii="仿宋_GB2312" w:hAnsi="仿宋_GB2312" w:eastAsia="仿宋_GB2312" w:cs="仿宋_GB2312"/>
          <w:color w:val="000000"/>
          <w:sz w:val="32"/>
          <w:szCs w:val="32"/>
        </w:rPr>
        <w:t>负责全区通信、供水、排水、供电、供气、供热、广播电视等系统抢险及正常运行保障；完成区抗震救灾指挥部交办的其他任务。</w:t>
      </w:r>
      <w:r>
        <w:rPr>
          <w:rFonts w:hint="eastAsia" w:ascii="仿宋_GB2312" w:hAnsi="仿宋_GB2312" w:eastAsia="仿宋_GB2312" w:cs="仿宋_GB2312"/>
          <w:bCs/>
          <w:sz w:val="32"/>
          <w:szCs w:val="32"/>
        </w:rPr>
        <w:t>申请、安排下拨救灾应急资金；调运粮食、食品、农资等物资，保证灾区群众恢复生产生活必需品的供应；调配救助物品，保障受灾群众基本生活，做好受灾群众安置工作。</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（4）安全维稳组</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由公安分局牵头，交管大队、武装部、各镇（街道）、区域服务中心参加。</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主要职责：组织调集警力及时驰援灾区，参与灾区治安管理和安全保卫工作，依法打击各类违法犯罪活动，维护现场及周边社会治安和道路交通秩序，保证抢险救灾工作顺利进行。</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（5）医疗防疫组</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由卫健委牵头，工信局、生态环境分局、市场监管局、红十字会、各镇（街道）、区域服务中心参加。</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主要职责：</w:t>
      </w:r>
      <w:r>
        <w:rPr>
          <w:rFonts w:hint="eastAsia" w:ascii="仿宋_GB2312" w:hAnsi="仿宋_GB2312" w:eastAsia="仿宋_GB2312" w:cs="仿宋_GB2312"/>
          <w:color w:val="000000"/>
          <w:sz w:val="32"/>
          <w:szCs w:val="32"/>
        </w:rPr>
        <w:t>负责拟定人员救治和卫生防疫应对措施，统筹协调受伤人员医疗救治、卫生防疫、临时医疗点设置等工作；检查、监测灾区饮用水源和食品，防范和控制各种传染病等疫病的暴发流行；做好伤员、灾区群众和救援人员的医疗服务与心理援助。制定实施灾后动物防疫方案，根据当地动物疫病流行情况开展相应重大动物疫病和人畜共患病防控；完成区抗震救灾指挥部交办的其他任务</w:t>
      </w:r>
      <w:r>
        <w:rPr>
          <w:rFonts w:hint="eastAsia" w:ascii="仿宋_GB2312" w:hAnsi="仿宋_GB2312" w:eastAsia="仿宋_GB2312" w:cs="仿宋_GB2312"/>
          <w:bCs/>
          <w:sz w:val="32"/>
          <w:szCs w:val="32"/>
        </w:rPr>
        <w:t>。</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（6）物资保障组</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由应急管理局牵头，发改委、民政局、农水局、工信局、交管大队、市场监管局、各镇（街道）、区域服务中心等单位参加。</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主要职责：</w:t>
      </w:r>
      <w:r>
        <w:rPr>
          <w:rFonts w:hint="eastAsia" w:ascii="仿宋_GB2312" w:hAnsi="仿宋_GB2312" w:eastAsia="仿宋_GB2312" w:cs="仿宋_GB2312"/>
          <w:color w:val="000000"/>
          <w:sz w:val="32"/>
          <w:szCs w:val="32"/>
        </w:rPr>
        <w:t>负责组织生产、调运抢险救援产品，保障抗震救灾工作期间生活必需品和抢险救援装备等物资供应；完成区抗震救灾指挥部交办的其他任务。</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（7）恢复重建组</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由住建局牵头，</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"http://www.bjft.gov.cn/ftq/c100003pu/jgxxcontent.shtml" \t "http://www.bjft.gov.cn/ftq/c100003pu/_parent"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bCs/>
          <w:sz w:val="32"/>
          <w:szCs w:val="32"/>
        </w:rPr>
        <w:t>自然资源</w:t>
      </w:r>
      <w:r>
        <w:rPr>
          <w:rFonts w:hint="eastAsia" w:ascii="仿宋_GB2312" w:hAnsi="仿宋_GB2312" w:eastAsia="仿宋_GB2312" w:cs="仿宋_GB2312"/>
          <w:bCs/>
          <w:sz w:val="32"/>
          <w:szCs w:val="32"/>
        </w:rPr>
        <w:fldChar w:fldCharType="end"/>
      </w:r>
      <w:r>
        <w:rPr>
          <w:rFonts w:hint="eastAsia" w:ascii="仿宋_GB2312" w:hAnsi="仿宋_GB2312" w:eastAsia="仿宋_GB2312" w:cs="仿宋_GB2312"/>
          <w:bCs/>
          <w:sz w:val="32"/>
          <w:szCs w:val="32"/>
        </w:rPr>
        <w:t>分局、应急管理局、财政局、教育局、农水局、各镇（街道）、区域服务中心等部门参加。</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主要职责：负责灾后指导恢复重建选址和规划工作，帮助灾区因灾倒塌和损坏的居民住房、学校、医院等基础设施的恢复重建。</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（8）群众安置组</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由区民政局牵头，发改委、教育局、财政局、住建局、统计局、市场监督管理局、红十字会、各镇（街道）、区域服务中心、国网电力、电信等单位组成。</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职责：发挥基层党组织战斗堡垒和广大党员先锋模范作用，广泛动员、组织和凝聚群众，构筑群众自救互救体系；制定实施受灾群众救助工作方案以及相应的资金物资保障措施，组织调集、转运帐篷和灾区生活必需品等抗震救灾物资，指导灾区</w:t>
      </w:r>
      <w:r>
        <w:rPr>
          <w:rFonts w:hint="eastAsia" w:ascii="仿宋_GB2312" w:hAnsi="仿宋_GB2312" w:eastAsia="仿宋_GB2312" w:cs="仿宋_GB2312"/>
          <w:color w:val="000000"/>
          <w:sz w:val="32"/>
          <w:szCs w:val="32"/>
        </w:rPr>
        <w:t>镇（街道）、区域服务中心</w:t>
      </w:r>
      <w:r>
        <w:rPr>
          <w:rFonts w:hint="eastAsia" w:ascii="仿宋_GB2312" w:hAnsi="仿宋_GB2312" w:eastAsia="仿宋_GB2312" w:cs="仿宋_GB2312"/>
          <w:bCs/>
          <w:sz w:val="32"/>
          <w:szCs w:val="32"/>
        </w:rPr>
        <w:t>做好受灾群众的紧急转移和安置工作，支援灾区保障群众基本生活和市场供应；负责社会动员和志愿服务管理工作；组织开展建筑物安全性鉴定；完成区抗震救灾指挥部交办的其他任务。</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（9）宣传引导组</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由宣传部牵头，统战部、融媒体中心、公安分局、工业信息化局、各镇（街道）、区域服务中心参加。</w:t>
      </w:r>
    </w:p>
    <w:p>
      <w:pPr>
        <w:ind w:firstLine="645"/>
        <w:rPr>
          <w:rFonts w:hint="eastAsia" w:ascii="仿宋_GB2312" w:hAnsi="仿宋_GB2312" w:eastAsia="仿宋_GB2312" w:cs="仿宋_GB2312"/>
          <w:bCs/>
          <w:sz w:val="32"/>
          <w:szCs w:val="32"/>
        </w:rPr>
      </w:pPr>
      <w:r>
        <w:rPr>
          <w:rFonts w:hint="eastAsia" w:ascii="仿宋_GB2312" w:hAnsi="仿宋_GB2312" w:eastAsia="仿宋_GB2312" w:cs="仿宋_GB2312"/>
          <w:bCs/>
          <w:sz w:val="32"/>
          <w:szCs w:val="32"/>
        </w:rPr>
        <w:t>主要职责：</w:t>
      </w:r>
      <w:r>
        <w:rPr>
          <w:rFonts w:hint="eastAsia" w:ascii="仿宋_GB2312" w:hAnsi="仿宋_GB2312" w:eastAsia="仿宋_GB2312" w:cs="仿宋_GB2312"/>
          <w:color w:val="000000"/>
          <w:sz w:val="32"/>
          <w:szCs w:val="32"/>
        </w:rPr>
        <w:t>负责抗震救灾的新闻宣传、信息发布、舆论引导、舆情应对等工作；负责协调在本区的外籍和港澳台人员的相关救援安置工作；完成区抗震救灾指挥部交办的其他任务</w:t>
      </w:r>
      <w:r>
        <w:rPr>
          <w:rFonts w:hint="eastAsia" w:ascii="仿宋_GB2312" w:hAnsi="仿宋_GB2312" w:eastAsia="仿宋_GB2312" w:cs="仿宋_GB2312"/>
          <w:bCs/>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rPr>
      </w:pPr>
      <w:bookmarkStart w:id="16" w:name="_Toc29165"/>
      <w:r>
        <w:rPr>
          <w:rFonts w:hint="eastAsia" w:ascii="黑体" w:hAnsi="黑体" w:eastAsia="黑体" w:cs="黑体"/>
          <w:bCs/>
          <w:kern w:val="44"/>
          <w:sz w:val="32"/>
          <w:szCs w:val="44"/>
        </w:rPr>
        <w:t>2.5其他救援力量及职责</w:t>
      </w:r>
      <w:bookmarkEnd w:id="16"/>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1"/>
        <w:rPr>
          <w:rFonts w:hint="eastAsia" w:ascii="仿宋" w:hAnsi="仿宋" w:eastAsia="仿宋" w:cs="仿宋"/>
          <w:bCs/>
          <w:sz w:val="32"/>
          <w:szCs w:val="32"/>
        </w:rPr>
      </w:pPr>
      <w:bookmarkStart w:id="17" w:name="_Toc19656"/>
      <w:bookmarkStart w:id="18" w:name="_Toc23787"/>
      <w:r>
        <w:rPr>
          <w:rFonts w:hint="eastAsia" w:ascii="仿宋" w:hAnsi="仿宋" w:eastAsia="仿宋" w:cs="仿宋"/>
          <w:bCs/>
          <w:sz w:val="32"/>
          <w:szCs w:val="32"/>
        </w:rPr>
        <w:t>2.5.1</w:t>
      </w:r>
      <w:r>
        <w:rPr>
          <w:rFonts w:hint="eastAsia" w:ascii="仿宋" w:hAnsi="仿宋" w:eastAsia="仿宋" w:cs="仿宋"/>
          <w:sz w:val="32"/>
          <w:szCs w:val="32"/>
        </w:rPr>
        <w:t>抗震救灾指挥部聘请专家，组成抗震救灾应急专家顾问组</w:t>
      </w:r>
      <w:r>
        <w:rPr>
          <w:rFonts w:hint="eastAsia" w:ascii="仿宋" w:hAnsi="仿宋" w:eastAsia="仿宋" w:cs="仿宋"/>
          <w:bCs/>
          <w:sz w:val="32"/>
          <w:szCs w:val="32"/>
        </w:rPr>
        <w:t>，对区抗震防灾、减灾、救灾工作重大决策和重要规划提供政策咨询和建议，为地震灾害的灾情评估、应急救助和灾后救助提出咨询意见和对策建议。</w:t>
      </w:r>
      <w:bookmarkEnd w:id="17"/>
      <w:bookmarkEnd w:id="18"/>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1"/>
        <w:rPr>
          <w:rFonts w:ascii="仿宋" w:hAnsi="仿宋" w:eastAsia="仿宋" w:cs="仿宋"/>
          <w:bCs/>
          <w:sz w:val="32"/>
          <w:szCs w:val="32"/>
        </w:rPr>
      </w:pPr>
      <w:bookmarkStart w:id="19" w:name="_Toc30099"/>
      <w:bookmarkStart w:id="20" w:name="_Toc10272"/>
      <w:r>
        <w:rPr>
          <w:rFonts w:hint="eastAsia" w:ascii="仿宋" w:hAnsi="仿宋" w:eastAsia="仿宋" w:cs="仿宋"/>
          <w:bCs/>
          <w:sz w:val="32"/>
          <w:szCs w:val="32"/>
        </w:rPr>
        <w:t>2.5.2社会力量是指在人民群众中的热心志愿者（组织）、社会爱心人士。社会力量在应急救助工作中服从应急指挥办公室的统一指挥和调度。</w:t>
      </w:r>
      <w:bookmarkEnd w:id="19"/>
      <w:bookmarkEnd w:id="20"/>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0"/>
        <w:rPr>
          <w:rFonts w:hint="eastAsia" w:ascii="黑体" w:hAnsi="黑体" w:eastAsia="黑体" w:cs="黑体"/>
          <w:bCs/>
          <w:kern w:val="44"/>
          <w:sz w:val="32"/>
          <w:szCs w:val="44"/>
        </w:rPr>
      </w:pPr>
      <w:bookmarkStart w:id="21" w:name="_Toc1197"/>
      <w:bookmarkStart w:id="22" w:name="_Toc27257"/>
      <w:bookmarkStart w:id="23" w:name="_Toc24593"/>
      <w:r>
        <w:rPr>
          <w:rFonts w:hint="eastAsia" w:ascii="黑体" w:hAnsi="黑体" w:eastAsia="黑体" w:cs="黑体"/>
          <w:bCs/>
          <w:kern w:val="44"/>
          <w:sz w:val="32"/>
          <w:szCs w:val="44"/>
        </w:rPr>
        <w:t>3</w:t>
      </w:r>
      <w:bookmarkEnd w:id="21"/>
      <w:r>
        <w:rPr>
          <w:rFonts w:hint="eastAsia" w:ascii="黑体" w:hAnsi="黑体" w:eastAsia="黑体" w:cs="黑体"/>
          <w:bCs/>
          <w:kern w:val="44"/>
          <w:sz w:val="32"/>
          <w:szCs w:val="44"/>
          <w:lang w:val="en-US" w:eastAsia="zh-CN"/>
        </w:rPr>
        <w:t>震前防控措施</w:t>
      </w:r>
      <w:bookmarkEnd w:id="22"/>
      <w:bookmarkEnd w:id="23"/>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rPr>
      </w:pPr>
      <w:bookmarkStart w:id="24" w:name="_Toc28994"/>
      <w:bookmarkStart w:id="25" w:name="_Toc6463"/>
      <w:r>
        <w:rPr>
          <w:rFonts w:hint="eastAsia" w:ascii="黑体" w:hAnsi="黑体" w:eastAsia="黑体" w:cs="黑体"/>
          <w:bCs/>
          <w:kern w:val="44"/>
          <w:sz w:val="32"/>
          <w:szCs w:val="44"/>
        </w:rPr>
        <w:t>3.1信息监测与报告</w:t>
      </w:r>
      <w:bookmarkEnd w:id="24"/>
    </w:p>
    <w:p>
      <w:pPr>
        <w:keepNext w:val="0"/>
        <w:keepLines w:val="0"/>
        <w:pageBreakBefore w:val="0"/>
        <w:widowControl w:val="0"/>
        <w:kinsoku/>
        <w:wordWrap/>
        <w:overflowPunct/>
        <w:topLinePunct w:val="0"/>
        <w:autoSpaceDE/>
        <w:autoSpaceDN/>
        <w:bidi w:val="0"/>
        <w:spacing w:afterAutospacing="0" w:line="62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应急管理局配合自治区地震局开展本区域的地震信息监测及宏观异常的分析研究，并将震情、灾情信息及时报告</w:t>
      </w:r>
      <w:r>
        <w:rPr>
          <w:rFonts w:hint="eastAsia" w:ascii="仿宋_GB2312" w:hAnsi="仿宋_GB2312" w:eastAsia="仿宋_GB2312" w:cs="仿宋_GB2312"/>
          <w:color w:val="auto"/>
          <w:sz w:val="32"/>
          <w:szCs w:val="32"/>
          <w:lang w:val="en-US" w:eastAsia="zh-CN"/>
        </w:rPr>
        <w:t>区委、区</w:t>
      </w:r>
      <w:r>
        <w:rPr>
          <w:rFonts w:hint="eastAsia" w:ascii="仿宋_GB2312" w:hAnsi="仿宋_GB2312" w:eastAsia="仿宋_GB2312" w:cs="仿宋_GB2312"/>
          <w:color w:val="auto"/>
          <w:sz w:val="32"/>
          <w:szCs w:val="32"/>
        </w:rPr>
        <w:t>政府和</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抗震救灾指挥部办公室。</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default" w:ascii="黑体" w:hAnsi="黑体" w:eastAsia="黑体" w:cs="黑体"/>
          <w:bCs/>
          <w:kern w:val="44"/>
          <w:sz w:val="32"/>
          <w:szCs w:val="44"/>
          <w:lang w:val="en-US" w:eastAsia="zh-CN"/>
        </w:rPr>
      </w:pPr>
      <w:bookmarkStart w:id="26" w:name="_Toc3537"/>
      <w:r>
        <w:rPr>
          <w:rFonts w:hint="eastAsia" w:ascii="黑体" w:hAnsi="黑体" w:eastAsia="黑体" w:cs="黑体"/>
          <w:bCs/>
          <w:kern w:val="44"/>
          <w:sz w:val="32"/>
          <w:szCs w:val="44"/>
        </w:rPr>
        <w:t>3.2</w:t>
      </w:r>
      <w:r>
        <w:rPr>
          <w:rFonts w:hint="eastAsia" w:ascii="黑体" w:hAnsi="黑体" w:eastAsia="黑体" w:cs="黑体"/>
          <w:bCs/>
          <w:kern w:val="44"/>
          <w:sz w:val="32"/>
          <w:szCs w:val="44"/>
          <w:lang w:val="en-US" w:eastAsia="zh-CN"/>
        </w:rPr>
        <w:t>风险防控</w:t>
      </w:r>
      <w:bookmarkEnd w:id="26"/>
    </w:p>
    <w:p>
      <w:pPr>
        <w:ind w:firstLine="640" w:firstLineChars="200"/>
        <w:rPr>
          <w:rFonts w:ascii="仿宋" w:hAnsi="仿宋" w:eastAsia="仿宋" w:cs="仿宋"/>
          <w:bCs/>
          <w:sz w:val="32"/>
          <w:szCs w:val="32"/>
        </w:rPr>
      </w:pPr>
      <w:r>
        <w:rPr>
          <w:rFonts w:hint="eastAsia" w:ascii="仿宋" w:hAnsi="仿宋" w:eastAsia="仿宋" w:cs="仿宋"/>
          <w:bCs/>
          <w:sz w:val="32"/>
          <w:szCs w:val="32"/>
        </w:rPr>
        <w:t>区</w:t>
      </w:r>
      <w:r>
        <w:rPr>
          <w:rFonts w:hint="eastAsia" w:ascii="仿宋" w:hAnsi="仿宋" w:eastAsia="仿宋" w:cs="仿宋"/>
          <w:bCs/>
          <w:sz w:val="32"/>
          <w:szCs w:val="32"/>
          <w:lang w:val="en-US" w:eastAsia="zh-CN"/>
        </w:rPr>
        <w:t>应急管理</w:t>
      </w:r>
      <w:r>
        <w:rPr>
          <w:rFonts w:hint="eastAsia" w:ascii="仿宋" w:hAnsi="仿宋" w:eastAsia="仿宋" w:cs="仿宋"/>
          <w:bCs/>
          <w:sz w:val="32"/>
          <w:szCs w:val="32"/>
        </w:rPr>
        <w:t>局密切监视</w:t>
      </w:r>
      <w:r>
        <w:rPr>
          <w:rFonts w:hint="eastAsia" w:ascii="仿宋_GB2312" w:hAnsi="仿宋_GB2312" w:eastAsia="仿宋_GB2312" w:cs="仿宋_GB2312"/>
          <w:color w:val="auto"/>
          <w:sz w:val="32"/>
          <w:szCs w:val="32"/>
        </w:rPr>
        <w:t>自治区</w:t>
      </w:r>
      <w:r>
        <w:rPr>
          <w:rFonts w:hint="eastAsia" w:ascii="仿宋_GB2312" w:hAnsi="仿宋_GB2312" w:eastAsia="仿宋_GB2312" w:cs="仿宋_GB2312"/>
          <w:color w:val="auto"/>
          <w:sz w:val="32"/>
          <w:szCs w:val="32"/>
          <w:lang w:eastAsia="zh-CN"/>
        </w:rPr>
        <w:t>、</w:t>
      </w:r>
      <w:r>
        <w:rPr>
          <w:rFonts w:hint="eastAsia" w:ascii="仿宋" w:hAnsi="仿宋" w:eastAsia="仿宋" w:cs="仿宋"/>
          <w:bCs/>
          <w:sz w:val="32"/>
          <w:szCs w:val="32"/>
          <w:lang w:val="en-US" w:eastAsia="zh-CN"/>
        </w:rPr>
        <w:t>市地震局发布的</w:t>
      </w:r>
      <w:r>
        <w:rPr>
          <w:rFonts w:hint="eastAsia" w:ascii="仿宋" w:hAnsi="仿宋" w:eastAsia="仿宋" w:cs="仿宋"/>
          <w:bCs/>
          <w:sz w:val="32"/>
          <w:szCs w:val="32"/>
        </w:rPr>
        <w:t>震情发展，依据震情做好跟踪工作。</w:t>
      </w:r>
    </w:p>
    <w:p>
      <w:pPr>
        <w:keepNext w:val="0"/>
        <w:keepLines w:val="0"/>
        <w:pageBreakBefore w:val="0"/>
        <w:widowControl w:val="0"/>
        <w:kinsoku/>
        <w:wordWrap/>
        <w:overflowPunct/>
        <w:topLinePunct w:val="0"/>
        <w:autoSpaceDE/>
        <w:autoSpaceDN/>
        <w:bidi w:val="0"/>
        <w:spacing w:afterAutospacing="0" w:line="620" w:lineRule="exact"/>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政府和街道办事处，应当组织开展地震知识的宣传普及活动和地震应急演练。村民委员会、居民委员会应当根据所在地人民政府的要求，开展地震知识宣传普及活动和地震预警应急演练</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spacing w:afterAutospacing="0" w:line="620" w:lineRule="exact"/>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区应急管理局</w:t>
      </w:r>
      <w:r>
        <w:rPr>
          <w:rFonts w:hint="eastAsia" w:ascii="仿宋_GB2312" w:hAnsi="仿宋_GB2312" w:eastAsia="仿宋_GB2312" w:cs="仿宋_GB2312"/>
          <w:color w:val="auto"/>
          <w:sz w:val="32"/>
          <w:szCs w:val="32"/>
        </w:rPr>
        <w:t>应当指导、协助、督促有关单位做好地震预警知识的宣传教育和地震预警应急演练工作。</w:t>
      </w:r>
    </w:p>
    <w:bookmarkEnd w:id="25"/>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0"/>
        <w:rPr>
          <w:rFonts w:hint="eastAsia" w:ascii="黑体" w:hAnsi="黑体" w:eastAsia="黑体" w:cs="黑体"/>
          <w:bCs/>
          <w:kern w:val="44"/>
          <w:sz w:val="32"/>
          <w:szCs w:val="44"/>
        </w:rPr>
      </w:pPr>
      <w:bookmarkStart w:id="27" w:name="_Toc12385"/>
      <w:bookmarkStart w:id="28" w:name="_Toc5680"/>
      <w:r>
        <w:rPr>
          <w:rFonts w:hint="eastAsia" w:ascii="黑体" w:hAnsi="黑体" w:eastAsia="黑体" w:cs="黑体"/>
          <w:bCs/>
          <w:kern w:val="44"/>
          <w:sz w:val="32"/>
          <w:szCs w:val="44"/>
        </w:rPr>
        <w:t>4信息报告与发布</w:t>
      </w:r>
      <w:bookmarkEnd w:id="27"/>
      <w:bookmarkEnd w:id="28"/>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信息报告应贯穿于地震灾害事件的预防与应急准备、应急处置与救援、震后恢复与重建等应对活动的全过程。报送信息，要做到及时、客观、真实，不得迟报、谎报、瞒报和漏报。</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rPr>
      </w:pPr>
      <w:bookmarkStart w:id="29" w:name="_Toc23474"/>
      <w:bookmarkStart w:id="30" w:name="_Toc14235"/>
      <w:bookmarkStart w:id="31" w:name="_Toc8908"/>
      <w:r>
        <w:rPr>
          <w:rFonts w:hint="eastAsia" w:ascii="黑体" w:hAnsi="黑体" w:eastAsia="黑体" w:cs="黑体"/>
          <w:bCs/>
          <w:kern w:val="44"/>
          <w:sz w:val="32"/>
          <w:szCs w:val="44"/>
        </w:rPr>
        <w:t>4.1</w:t>
      </w:r>
      <w:bookmarkEnd w:id="29"/>
      <w:r>
        <w:rPr>
          <w:rFonts w:hint="eastAsia" w:ascii="黑体" w:hAnsi="黑体" w:eastAsia="黑体" w:cs="黑体"/>
          <w:bCs/>
          <w:kern w:val="44"/>
          <w:sz w:val="32"/>
          <w:szCs w:val="44"/>
        </w:rPr>
        <w:t>信息报告</w:t>
      </w:r>
      <w:bookmarkEnd w:id="30"/>
      <w:bookmarkEnd w:id="31"/>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地震发生后，相关镇（街道）、区域服务中心、地震和应急等部门要及时报告震情、灾情、救援等相关信息，紧急信息要边报告、边处置、边核实。</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初期响应阶段，受灾镇（街道）、区域服务中心、相关成员单位组织开展现场灾情收集、分析研判工作，及时将收集整理、核实修正的相关信息报送至抗震救灾指挥部办公室。在处置实施阶段，受灾镇（街道）、区域服务中心应积极主动收集灾情、社情，并对所收集的灾情、社情进行分析判断，持续上报相关信息，相关工作组牵头单位持续上报人员搜救、抢险处置等工作动态，信息上报工作直到应急处置结束。</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bCs/>
          <w:sz w:val="32"/>
          <w:szCs w:val="32"/>
        </w:rPr>
      </w:pPr>
      <w:r>
        <w:rPr>
          <w:rFonts w:hint="eastAsia" w:ascii="仿宋_GB2312" w:hAnsi="仿宋_GB2312" w:eastAsia="仿宋_GB2312" w:cs="仿宋_GB2312"/>
          <w:color w:val="000000"/>
          <w:sz w:val="32"/>
          <w:szCs w:val="32"/>
        </w:rPr>
        <w:t>抗震救灾指挥部办公室分类、汇总相关信息后立即报告区委、区政府和市抗震救灾指挥部办公室。</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rPr>
      </w:pPr>
      <w:bookmarkStart w:id="32" w:name="_Toc9551"/>
      <w:bookmarkStart w:id="33" w:name="_Toc1090"/>
      <w:bookmarkStart w:id="34" w:name="_Toc26037"/>
      <w:r>
        <w:rPr>
          <w:rFonts w:hint="eastAsia" w:ascii="黑体" w:hAnsi="黑体" w:eastAsia="黑体" w:cs="黑体"/>
          <w:bCs/>
          <w:kern w:val="44"/>
          <w:sz w:val="32"/>
          <w:szCs w:val="44"/>
        </w:rPr>
        <w:t>4.2</w:t>
      </w:r>
      <w:bookmarkEnd w:id="32"/>
      <w:r>
        <w:rPr>
          <w:rFonts w:hint="eastAsia" w:ascii="黑体" w:hAnsi="黑体" w:eastAsia="黑体" w:cs="黑体"/>
          <w:bCs/>
          <w:kern w:val="44"/>
          <w:sz w:val="32"/>
          <w:szCs w:val="44"/>
        </w:rPr>
        <w:t>信息发布</w:t>
      </w:r>
      <w:bookmarkEnd w:id="33"/>
      <w:bookmarkEnd w:id="34"/>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区</w:t>
      </w:r>
      <w:r>
        <w:rPr>
          <w:rFonts w:hint="eastAsia" w:ascii="仿宋_GB2312" w:hAnsi="仿宋_GB2312" w:eastAsia="仿宋_GB2312" w:cs="仿宋_GB2312"/>
          <w:color w:val="000000"/>
          <w:sz w:val="32"/>
          <w:szCs w:val="32"/>
        </w:rPr>
        <w:t>抗震救灾指挥部按照分级响应原则，分别负责相应级别地震灾害信息发布工作，回应社会关切。信息发布要统一、及时、准确、客观。</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000000"/>
          <w:sz w:val="32"/>
          <w:szCs w:val="32"/>
          <w:lang w:val="en-US" w:eastAsia="zh-CN"/>
        </w:rPr>
        <w:t>区</w:t>
      </w:r>
      <w:r>
        <w:rPr>
          <w:rFonts w:hint="eastAsia" w:ascii="仿宋_GB2312" w:hAnsi="仿宋_GB2312" w:eastAsia="仿宋_GB2312" w:cs="仿宋_GB2312"/>
          <w:color w:val="000000"/>
          <w:sz w:val="32"/>
          <w:szCs w:val="32"/>
        </w:rPr>
        <w:t>应急管理局要协调</w:t>
      </w:r>
      <w:r>
        <w:rPr>
          <w:rFonts w:hint="eastAsia" w:ascii="仿宋_GB2312" w:hAnsi="仿宋_GB2312" w:eastAsia="仿宋_GB2312" w:cs="仿宋_GB2312"/>
          <w:color w:val="000000"/>
          <w:sz w:val="32"/>
          <w:szCs w:val="32"/>
          <w:lang w:val="en-US" w:eastAsia="zh-CN"/>
        </w:rPr>
        <w:t>区</w:t>
      </w:r>
      <w:r>
        <w:rPr>
          <w:rFonts w:hint="eastAsia" w:ascii="仿宋_GB2312" w:hAnsi="仿宋_GB2312" w:eastAsia="仿宋_GB2312" w:cs="仿宋_GB2312"/>
          <w:color w:val="000000"/>
          <w:sz w:val="32"/>
          <w:szCs w:val="32"/>
        </w:rPr>
        <w:t>委宣传部，做好发稿和记者安全、生活等后勤保障。</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0"/>
        <w:rPr>
          <w:rFonts w:hint="eastAsia" w:ascii="黑体" w:hAnsi="黑体" w:eastAsia="黑体" w:cs="黑体"/>
          <w:bCs/>
          <w:kern w:val="44"/>
          <w:sz w:val="32"/>
          <w:szCs w:val="44"/>
        </w:rPr>
      </w:pPr>
      <w:bookmarkStart w:id="35" w:name="_Toc7820"/>
      <w:bookmarkStart w:id="36" w:name="_Toc14892"/>
      <w:r>
        <w:rPr>
          <w:rFonts w:hint="eastAsia" w:ascii="黑体" w:hAnsi="黑体" w:eastAsia="黑体" w:cs="黑体"/>
          <w:bCs/>
          <w:kern w:val="44"/>
          <w:sz w:val="32"/>
          <w:szCs w:val="44"/>
        </w:rPr>
        <w:t>5应急响应</w:t>
      </w:r>
      <w:bookmarkEnd w:id="35"/>
      <w:bookmarkEnd w:id="36"/>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rPr>
      </w:pPr>
      <w:bookmarkStart w:id="37" w:name="_Toc31748"/>
      <w:r>
        <w:rPr>
          <w:rFonts w:hint="eastAsia" w:ascii="黑体" w:hAnsi="黑体" w:eastAsia="黑体" w:cs="黑体"/>
          <w:bCs/>
          <w:kern w:val="44"/>
          <w:sz w:val="32"/>
          <w:szCs w:val="44"/>
        </w:rPr>
        <w:t>5.1灾害分级</w:t>
      </w:r>
      <w:bookmarkEnd w:id="37"/>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根据《内蒙古自治区地震应急预案》和《呼和浩特市地震应急预案》，地震灾害分为特别重大、重大、较大、一般四级，地震灾害分级标准见表1。</w:t>
      </w:r>
    </w:p>
    <w:p>
      <w:pPr>
        <w:keepNext w:val="0"/>
        <w:keepLines w:val="0"/>
        <w:pageBreakBefore w:val="0"/>
        <w:widowControl w:val="0"/>
        <w:kinsoku/>
        <w:wordWrap/>
        <w:overflowPunct/>
        <w:topLinePunct w:val="0"/>
        <w:autoSpaceDE/>
        <w:autoSpaceDN/>
        <w:bidi w:val="0"/>
        <w:spacing w:afterAutospacing="0" w:line="620" w:lineRule="exact"/>
        <w:ind w:firstLine="643" w:firstLineChars="200"/>
        <w:jc w:val="center"/>
        <w:textAlignment w:val="auto"/>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b/>
          <w:color w:val="auto"/>
          <w:sz w:val="32"/>
          <w:szCs w:val="32"/>
        </w:rPr>
        <w:t>表1  呼和浩特市地震灾害分级标准</w:t>
      </w: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2741"/>
        <w:gridCol w:w="1398"/>
        <w:gridCol w:w="1747"/>
        <w:gridCol w:w="14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地震灾害分级</w:t>
            </w:r>
          </w:p>
        </w:tc>
        <w:tc>
          <w:tcPr>
            <w:tcW w:w="4276" w:type="pct"/>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分级标准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p>
        </w:tc>
        <w:tc>
          <w:tcPr>
            <w:tcW w:w="1608" w:type="pct"/>
            <w:vMerge w:val="restart"/>
            <w:tcBorders>
              <w:top w:val="single" w:color="auto" w:sz="4" w:space="0"/>
              <w:left w:val="nil"/>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震级（初判指标）</w:t>
            </w:r>
          </w:p>
        </w:tc>
        <w:tc>
          <w:tcPr>
            <w:tcW w:w="2668" w:type="pct"/>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预评估结果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3"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p>
        </w:tc>
        <w:tc>
          <w:tcPr>
            <w:tcW w:w="1608" w:type="pct"/>
            <w:vMerge w:val="continue"/>
            <w:tcBorders>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p>
        </w:tc>
        <w:tc>
          <w:tcPr>
            <w:tcW w:w="82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死亡人员（含失踪）</w:t>
            </w:r>
          </w:p>
        </w:tc>
        <w:tc>
          <w:tcPr>
            <w:tcW w:w="10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经济损失</w:t>
            </w:r>
          </w:p>
        </w:tc>
        <w:tc>
          <w:tcPr>
            <w:tcW w:w="82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社会影响度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特别重大地震灾害</w:t>
            </w:r>
          </w:p>
        </w:tc>
        <w:tc>
          <w:tcPr>
            <w:tcW w:w="160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人口较密集地区发生M≥7.0级地震，</w:t>
            </w:r>
          </w:p>
        </w:tc>
        <w:tc>
          <w:tcPr>
            <w:tcW w:w="82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300人以上</w:t>
            </w:r>
          </w:p>
        </w:tc>
        <w:tc>
          <w:tcPr>
            <w:tcW w:w="10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直接经济损失占呼和浩特市上年国内生产总值1%以上</w:t>
            </w:r>
          </w:p>
        </w:tc>
        <w:tc>
          <w:tcPr>
            <w:tcW w:w="82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特别重大社会影响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重大地震灾害</w:t>
            </w:r>
          </w:p>
        </w:tc>
        <w:tc>
          <w:tcPr>
            <w:tcW w:w="160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人口较密集地区发生6.0≤M＜7.0级地震</w:t>
            </w:r>
          </w:p>
        </w:tc>
        <w:tc>
          <w:tcPr>
            <w:tcW w:w="82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50～300人</w:t>
            </w:r>
          </w:p>
        </w:tc>
        <w:tc>
          <w:tcPr>
            <w:tcW w:w="10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严重经济损失</w:t>
            </w:r>
          </w:p>
        </w:tc>
        <w:tc>
          <w:tcPr>
            <w:tcW w:w="82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重大社会影响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较大地震灾害</w:t>
            </w:r>
          </w:p>
        </w:tc>
        <w:tc>
          <w:tcPr>
            <w:tcW w:w="160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人口较密集地区发生5.0≤M＜6.0级地震，或人口密集地区发生4.0≤M＜5.0级地震。</w:t>
            </w:r>
          </w:p>
        </w:tc>
        <w:tc>
          <w:tcPr>
            <w:tcW w:w="82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10～50人</w:t>
            </w:r>
          </w:p>
        </w:tc>
        <w:tc>
          <w:tcPr>
            <w:tcW w:w="10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较重经济损失</w:t>
            </w:r>
          </w:p>
        </w:tc>
        <w:tc>
          <w:tcPr>
            <w:tcW w:w="82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较大社会影响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2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一般地震灾害</w:t>
            </w:r>
          </w:p>
        </w:tc>
        <w:tc>
          <w:tcPr>
            <w:tcW w:w="1608"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人口较密集地区发生4.0≤M＜5.0级地震</w:t>
            </w:r>
          </w:p>
        </w:tc>
        <w:tc>
          <w:tcPr>
            <w:tcW w:w="82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10人以下</w:t>
            </w:r>
          </w:p>
        </w:tc>
        <w:tc>
          <w:tcPr>
            <w:tcW w:w="10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一定经济损失</w:t>
            </w:r>
          </w:p>
        </w:tc>
        <w:tc>
          <w:tcPr>
            <w:tcW w:w="82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Autospacing="0" w:line="260" w:lineRule="exact"/>
              <w:jc w:val="center"/>
              <w:textAlignment w:val="auto"/>
              <w:rPr>
                <w:rFonts w:hint="eastAsia" w:ascii="仿宋_GB2312" w:hAnsi="仿宋_GB2312" w:eastAsia="仿宋_GB2312" w:cs="仿宋_GB2312"/>
                <w:color w:val="auto"/>
                <w:kern w:val="2"/>
                <w:sz w:val="24"/>
                <w:szCs w:val="24"/>
              </w:rPr>
            </w:pPr>
            <w:r>
              <w:rPr>
                <w:rFonts w:hint="eastAsia" w:ascii="仿宋_GB2312" w:hAnsi="仿宋_GB2312" w:eastAsia="仿宋_GB2312" w:cs="仿宋_GB2312"/>
                <w:color w:val="auto"/>
                <w:kern w:val="2"/>
                <w:sz w:val="24"/>
                <w:szCs w:val="24"/>
              </w:rPr>
              <w:t>一定社会影响</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 w:hAnsi="仿宋" w:eastAsia="仿宋" w:cs="仿宋"/>
          <w:bCs/>
          <w:sz w:val="32"/>
          <w:szCs w:val="32"/>
        </w:rPr>
      </w:pPr>
      <w:r>
        <w:rPr>
          <w:rFonts w:hint="eastAsia" w:ascii="仿宋_GB2312" w:hAnsi="仿宋_GB2312" w:eastAsia="仿宋_GB2312" w:cs="仿宋_GB2312"/>
          <w:color w:val="auto"/>
          <w:sz w:val="24"/>
          <w:szCs w:val="24"/>
        </w:rPr>
        <w:t>注：以上有关数量的表述中“以上”包括本数，“以下”不包括本数</w:t>
      </w:r>
      <w:r>
        <w:rPr>
          <w:rFonts w:hint="eastAsia" w:ascii="仿宋" w:hAnsi="仿宋" w:eastAsia="仿宋" w:cs="仿宋"/>
          <w:color w:val="00000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rPr>
      </w:pPr>
      <w:bookmarkStart w:id="38" w:name="_Toc5967"/>
      <w:r>
        <w:rPr>
          <w:rFonts w:hint="eastAsia" w:ascii="黑体" w:hAnsi="黑体" w:eastAsia="黑体" w:cs="黑体"/>
          <w:bCs/>
          <w:kern w:val="44"/>
          <w:sz w:val="32"/>
          <w:szCs w:val="44"/>
        </w:rPr>
        <w:t>5.2响应分级</w:t>
      </w:r>
      <w:bookmarkEnd w:id="38"/>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根据地震灾害的大小分级情况，将地震灾害应急响应分为Ⅰ级、Ⅱ级</w:t>
      </w:r>
      <w:r>
        <w:rPr>
          <w:rFonts w:hint="eastAsia" w:ascii="仿宋_GB2312" w:hAnsi="仿宋_GB2312" w:eastAsia="仿宋_GB2312" w:cs="仿宋_GB2312"/>
          <w:color w:val="auto"/>
          <w:sz w:val="32"/>
          <w:szCs w:val="32"/>
          <w:lang w:val="en-US" w:eastAsia="zh-CN"/>
        </w:rPr>
        <w:t>和</w:t>
      </w:r>
      <w:r>
        <w:rPr>
          <w:rFonts w:hint="eastAsia" w:ascii="仿宋_GB2312" w:hAnsi="仿宋_GB2312" w:eastAsia="仿宋_GB2312" w:cs="仿宋_GB2312"/>
          <w:color w:val="auto"/>
          <w:sz w:val="32"/>
          <w:szCs w:val="32"/>
        </w:rPr>
        <w:t>Ⅲ级，地震应急响应级别及抗震救灾指挥机构见表2。</w:t>
      </w:r>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应对</w:t>
      </w:r>
      <w:r>
        <w:rPr>
          <w:rFonts w:hint="eastAsia" w:ascii="仿宋_GB2312" w:hAnsi="仿宋_GB2312" w:eastAsia="仿宋_GB2312" w:cs="仿宋_GB2312"/>
          <w:color w:val="auto"/>
          <w:sz w:val="32"/>
          <w:szCs w:val="32"/>
          <w:lang w:val="en-US" w:eastAsia="zh-CN"/>
        </w:rPr>
        <w:t>重大和</w:t>
      </w:r>
      <w:r>
        <w:rPr>
          <w:rFonts w:hint="eastAsia" w:ascii="仿宋_GB2312" w:hAnsi="仿宋_GB2312" w:eastAsia="仿宋_GB2312" w:cs="仿宋_GB2312"/>
          <w:color w:val="auto"/>
          <w:sz w:val="32"/>
          <w:szCs w:val="32"/>
        </w:rPr>
        <w:t>特别重大地震灾害，启动</w:t>
      </w:r>
      <w:r>
        <w:rPr>
          <w:rFonts w:hint="eastAsia" w:ascii="仿宋_GB2312" w:hAnsi="仿宋_GB2312" w:eastAsia="仿宋_GB2312" w:cs="仿宋_GB2312"/>
          <w:color w:val="auto"/>
          <w:sz w:val="32"/>
          <w:szCs w:val="32"/>
          <w:lang w:eastAsia="zh-CN"/>
        </w:rPr>
        <w:t>Ⅰ</w:t>
      </w:r>
      <w:r>
        <w:rPr>
          <w:rFonts w:hint="eastAsia" w:ascii="仿宋_GB2312" w:hAnsi="仿宋_GB2312" w:eastAsia="仿宋_GB2312" w:cs="仿宋_GB2312"/>
          <w:color w:val="auto"/>
          <w:sz w:val="32"/>
          <w:szCs w:val="32"/>
        </w:rPr>
        <w:t>级响应，即在国务院抗震救灾指挥部及自治区抗震救灾指挥部统一领导、指挥下，按照国务院、自治区的要求组织开展地震应急工作。</w:t>
      </w:r>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应对较大地震灾害，启动</w:t>
      </w:r>
      <w:r>
        <w:rPr>
          <w:rFonts w:hint="eastAsia" w:ascii="仿宋_GB2312" w:hAnsi="仿宋_GB2312" w:eastAsia="仿宋_GB2312" w:cs="仿宋_GB2312"/>
          <w:color w:val="auto"/>
          <w:sz w:val="32"/>
          <w:szCs w:val="32"/>
          <w:lang w:eastAsia="zh-CN"/>
        </w:rPr>
        <w:t>Ⅱ</w:t>
      </w:r>
      <w:r>
        <w:rPr>
          <w:rFonts w:hint="eastAsia" w:ascii="仿宋_GB2312" w:hAnsi="仿宋_GB2312" w:eastAsia="仿宋_GB2312" w:cs="仿宋_GB2312"/>
          <w:color w:val="auto"/>
          <w:sz w:val="32"/>
          <w:szCs w:val="32"/>
        </w:rPr>
        <w:t>级响应，即直接</w:t>
      </w:r>
      <w:r>
        <w:rPr>
          <w:rFonts w:hint="eastAsia" w:ascii="仿宋_GB2312" w:hAnsi="仿宋_GB2312" w:eastAsia="仿宋_GB2312" w:cs="仿宋_GB2312"/>
          <w:color w:val="auto"/>
          <w:sz w:val="32"/>
          <w:szCs w:val="32"/>
          <w:lang w:val="en-US" w:eastAsia="zh-CN"/>
        </w:rPr>
        <w:t>接受市</w:t>
      </w:r>
      <w:r>
        <w:rPr>
          <w:rFonts w:hint="eastAsia" w:ascii="仿宋_GB2312" w:hAnsi="仿宋_GB2312" w:eastAsia="仿宋_GB2312" w:cs="仿宋_GB2312"/>
          <w:color w:val="auto"/>
          <w:sz w:val="32"/>
          <w:szCs w:val="32"/>
        </w:rPr>
        <w:t>抗震救灾指挥部领导组织的地震应急工作</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应对一般</w:t>
      </w:r>
      <w:r>
        <w:rPr>
          <w:rFonts w:hint="eastAsia" w:ascii="仿宋_GB2312" w:hAnsi="仿宋_GB2312" w:eastAsia="仿宋_GB2312" w:cs="仿宋_GB2312"/>
          <w:color w:val="auto"/>
          <w:sz w:val="32"/>
          <w:szCs w:val="32"/>
          <w:lang w:val="en-US" w:eastAsia="zh-CN"/>
        </w:rPr>
        <w:t>及有感</w:t>
      </w:r>
      <w:r>
        <w:rPr>
          <w:rFonts w:hint="eastAsia" w:ascii="仿宋_GB2312" w:hAnsi="仿宋_GB2312" w:eastAsia="仿宋_GB2312" w:cs="仿宋_GB2312"/>
          <w:color w:val="auto"/>
          <w:sz w:val="32"/>
          <w:szCs w:val="32"/>
        </w:rPr>
        <w:t>地震灾害，启动Ⅲ级响应，由</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抗震救灾指挥部领导</w:t>
      </w:r>
      <w:r>
        <w:rPr>
          <w:rFonts w:hint="eastAsia" w:ascii="仿宋_GB2312" w:hAnsi="仿宋_GB2312" w:eastAsia="仿宋_GB2312" w:cs="仿宋_GB2312"/>
          <w:color w:val="auto"/>
          <w:sz w:val="32"/>
          <w:szCs w:val="32"/>
          <w:lang w:val="en-US" w:eastAsia="zh-CN"/>
        </w:rPr>
        <w:t>组织</w:t>
      </w:r>
      <w:r>
        <w:rPr>
          <w:rFonts w:hint="eastAsia" w:ascii="仿宋_GB2312" w:hAnsi="仿宋_GB2312" w:eastAsia="仿宋_GB2312" w:cs="仿宋_GB2312"/>
          <w:color w:val="auto"/>
          <w:sz w:val="32"/>
          <w:szCs w:val="32"/>
        </w:rPr>
        <w:t>地震应急工作。</w:t>
      </w:r>
    </w:p>
    <w:p>
      <w:pPr>
        <w:keepNext w:val="0"/>
        <w:keepLines w:val="0"/>
        <w:pageBreakBefore w:val="0"/>
        <w:widowControl w:val="0"/>
        <w:kinsoku/>
        <w:wordWrap/>
        <w:overflowPunct/>
        <w:topLinePunct w:val="0"/>
        <w:autoSpaceDE/>
        <w:autoSpaceDN/>
        <w:bidi w:val="0"/>
        <w:spacing w:afterAutospacing="0" w:line="620" w:lineRule="exact"/>
        <w:ind w:firstLine="643" w:firstLineChars="200"/>
        <w:jc w:val="center"/>
        <w:textAlignment w:val="auto"/>
        <w:rPr>
          <w:rFonts w:hint="eastAsia"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表2 地震应急响应级别及抗震救灾指挥机构</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6"/>
        <w:gridCol w:w="1392"/>
        <w:gridCol w:w="5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6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地震灾害级别</w:t>
            </w:r>
          </w:p>
        </w:tc>
        <w:tc>
          <w:tcPr>
            <w:tcW w:w="139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响应级别</w:t>
            </w:r>
          </w:p>
        </w:tc>
        <w:tc>
          <w:tcPr>
            <w:tcW w:w="519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抗震救灾指挥机构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30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重大和</w:t>
            </w:r>
            <w:r>
              <w:rPr>
                <w:rFonts w:hint="eastAsia" w:ascii="仿宋_GB2312" w:hAnsi="仿宋_GB2312" w:eastAsia="仿宋_GB2312" w:cs="仿宋_GB2312"/>
                <w:color w:val="auto"/>
                <w:sz w:val="24"/>
                <w:szCs w:val="24"/>
              </w:rPr>
              <w:t>特别重大地震灾害</w:t>
            </w:r>
          </w:p>
        </w:tc>
        <w:tc>
          <w:tcPr>
            <w:tcW w:w="139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Ⅰ级</w:t>
            </w:r>
          </w:p>
        </w:tc>
        <w:tc>
          <w:tcPr>
            <w:tcW w:w="519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国务院抗震救灾指挥部及自治区抗震救灾指挥部（</w:t>
            </w:r>
            <w:r>
              <w:rPr>
                <w:rFonts w:hint="eastAsia" w:ascii="仿宋_GB2312" w:hAnsi="仿宋_GB2312" w:eastAsia="仿宋_GB2312" w:cs="仿宋_GB2312"/>
                <w:color w:val="auto"/>
                <w:sz w:val="24"/>
                <w:szCs w:val="24"/>
                <w:lang w:val="en-US" w:eastAsia="zh-CN"/>
              </w:rPr>
              <w:t>区</w:t>
            </w:r>
            <w:r>
              <w:rPr>
                <w:rFonts w:hint="eastAsia" w:ascii="仿宋_GB2312" w:hAnsi="仿宋_GB2312" w:eastAsia="仿宋_GB2312" w:cs="仿宋_GB2312"/>
                <w:color w:val="auto"/>
                <w:sz w:val="24"/>
                <w:szCs w:val="24"/>
              </w:rPr>
              <w:t>抗震救灾指挥部配合）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620" w:lineRule="exact"/>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较大地震灾害</w:t>
            </w:r>
          </w:p>
        </w:tc>
        <w:tc>
          <w:tcPr>
            <w:tcW w:w="139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Ⅱ</w:t>
            </w:r>
            <w:r>
              <w:rPr>
                <w:rFonts w:hint="eastAsia" w:ascii="仿宋_GB2312" w:hAnsi="仿宋_GB2312" w:eastAsia="仿宋_GB2312" w:cs="仿宋_GB2312"/>
                <w:color w:val="auto"/>
                <w:sz w:val="24"/>
                <w:szCs w:val="24"/>
              </w:rPr>
              <w:t>级</w:t>
            </w:r>
          </w:p>
        </w:tc>
        <w:tc>
          <w:tcPr>
            <w:tcW w:w="519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市抗震救灾指挥部</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区</w:t>
            </w:r>
            <w:r>
              <w:rPr>
                <w:rFonts w:hint="eastAsia" w:ascii="仿宋_GB2312" w:hAnsi="仿宋_GB2312" w:eastAsia="仿宋_GB2312" w:cs="仿宋_GB2312"/>
                <w:color w:val="auto"/>
                <w:sz w:val="24"/>
                <w:szCs w:val="24"/>
              </w:rPr>
              <w:t>抗震救灾指挥部配合</w:t>
            </w:r>
            <w:r>
              <w:rPr>
                <w:rFonts w:hint="eastAsia" w:ascii="仿宋_GB2312" w:hAnsi="仿宋_GB2312" w:eastAsia="仿宋_GB2312" w:cs="仿宋_GB2312"/>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36"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一般</w:t>
            </w:r>
            <w:r>
              <w:rPr>
                <w:rFonts w:hint="eastAsia" w:ascii="仿宋_GB2312" w:hAnsi="仿宋_GB2312" w:eastAsia="仿宋_GB2312" w:cs="仿宋_GB2312"/>
                <w:color w:val="auto"/>
                <w:sz w:val="24"/>
                <w:szCs w:val="24"/>
                <w:lang w:val="en-US" w:eastAsia="zh-CN"/>
              </w:rPr>
              <w:t>及有感</w:t>
            </w:r>
            <w:r>
              <w:rPr>
                <w:rFonts w:hint="eastAsia" w:ascii="仿宋_GB2312" w:hAnsi="仿宋_GB2312" w:eastAsia="仿宋_GB2312" w:cs="仿宋_GB2312"/>
                <w:color w:val="auto"/>
                <w:sz w:val="24"/>
                <w:szCs w:val="24"/>
              </w:rPr>
              <w:t>地震灾害</w:t>
            </w:r>
          </w:p>
        </w:tc>
        <w:tc>
          <w:tcPr>
            <w:tcW w:w="1392"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Ⅲ级</w:t>
            </w:r>
          </w:p>
        </w:tc>
        <w:tc>
          <w:tcPr>
            <w:tcW w:w="5194" w:type="dxa"/>
            <w:noWrap w:val="0"/>
            <w:vAlign w:val="center"/>
          </w:tcPr>
          <w:p>
            <w:pPr>
              <w:keepNext w:val="0"/>
              <w:keepLines w:val="0"/>
              <w:pageBreakBefore w:val="0"/>
              <w:widowControl w:val="0"/>
              <w:kinsoku/>
              <w:wordWrap/>
              <w:overflowPunct/>
              <w:topLinePunct w:val="0"/>
              <w:autoSpaceDE/>
              <w:autoSpaceDN/>
              <w:bidi w:val="0"/>
              <w:adjustRightInd w:val="0"/>
              <w:snapToGrid w:val="0"/>
              <w:spacing w:afterAutospacing="0" w:line="24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区</w:t>
            </w:r>
            <w:r>
              <w:rPr>
                <w:rFonts w:hint="eastAsia" w:ascii="仿宋_GB2312" w:hAnsi="仿宋_GB2312" w:eastAsia="仿宋_GB2312" w:cs="仿宋_GB2312"/>
                <w:color w:val="auto"/>
                <w:sz w:val="24"/>
                <w:szCs w:val="24"/>
              </w:rPr>
              <w:t>抗震救灾指挥部</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rPr>
      </w:pPr>
      <w:bookmarkStart w:id="39" w:name="_Toc3228"/>
      <w:bookmarkStart w:id="40" w:name="_Toc1864"/>
      <w:r>
        <w:rPr>
          <w:rFonts w:hint="eastAsia" w:ascii="黑体" w:hAnsi="黑体" w:eastAsia="黑体" w:cs="黑体"/>
          <w:bCs/>
          <w:kern w:val="44"/>
          <w:sz w:val="32"/>
          <w:szCs w:val="44"/>
          <w:lang w:val="en-US" w:eastAsia="zh-CN"/>
        </w:rPr>
        <w:t>5</w:t>
      </w:r>
      <w:r>
        <w:rPr>
          <w:rFonts w:hint="eastAsia" w:ascii="黑体" w:hAnsi="黑体" w:eastAsia="黑体" w:cs="黑体"/>
          <w:bCs/>
          <w:kern w:val="44"/>
          <w:sz w:val="32"/>
          <w:szCs w:val="44"/>
        </w:rPr>
        <w:t>.3响应启动程序</w:t>
      </w:r>
      <w:bookmarkEnd w:id="39"/>
      <w:bookmarkEnd w:id="40"/>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本</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及邻近地区发生破坏性地震以后 ，</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应急管理局根据</w:t>
      </w:r>
      <w:r>
        <w:rPr>
          <w:rFonts w:hint="eastAsia" w:ascii="仿宋_GB2312" w:hAnsi="仿宋_GB2312" w:eastAsia="仿宋_GB2312" w:cs="仿宋_GB2312"/>
          <w:color w:val="auto"/>
          <w:sz w:val="32"/>
          <w:szCs w:val="32"/>
          <w:lang w:val="en-US" w:eastAsia="zh-CN"/>
        </w:rPr>
        <w:t>上级提供的</w:t>
      </w:r>
      <w:r>
        <w:rPr>
          <w:rFonts w:hint="eastAsia" w:ascii="仿宋_GB2312" w:hAnsi="仿宋_GB2312" w:eastAsia="仿宋_GB2312" w:cs="仿宋_GB2312"/>
          <w:color w:val="auto"/>
          <w:sz w:val="32"/>
          <w:szCs w:val="32"/>
        </w:rPr>
        <w:t>地震速报参数（时间、地点、震级），向</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抗震救灾指挥部提出响应级别和抗震救灾的初步建议。指挥部根据此建议和初期灾情启动相应的地震应急响应级别。</w:t>
      </w:r>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（1）符合Ⅰ级响应级别的地震发生后，</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抗震救灾指挥部启动Ⅰ级响应级别，负责先期抗震救灾的指挥工作，同时上报震灾相关情况，待国务院抗震救灾指挥部及自治区抗震救灾指挥部成立，立即配合上级抗震救灾指挥部的工作。按上级抗震救灾指挥部统一部署开展抗震救灾工作，并提供应急指挥保障和服务工作。</w:t>
      </w:r>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（2）符合</w:t>
      </w:r>
      <w:r>
        <w:rPr>
          <w:rFonts w:hint="eastAsia" w:ascii="仿宋" w:hAnsi="仿宋" w:eastAsia="仿宋" w:cs="仿宋"/>
          <w:color w:val="auto"/>
          <w:sz w:val="32"/>
          <w:szCs w:val="32"/>
          <w:lang w:eastAsia="zh-CN"/>
        </w:rPr>
        <w:t>Ⅱ</w:t>
      </w:r>
      <w:r>
        <w:rPr>
          <w:rFonts w:hint="eastAsia" w:ascii="仿宋_GB2312" w:hAnsi="仿宋_GB2312" w:eastAsia="仿宋_GB2312" w:cs="仿宋_GB2312"/>
          <w:color w:val="auto"/>
          <w:sz w:val="32"/>
          <w:szCs w:val="32"/>
          <w:lang w:val="en-US" w:eastAsia="zh-CN"/>
        </w:rPr>
        <w:t>级</w:t>
      </w:r>
      <w:r>
        <w:rPr>
          <w:rFonts w:hint="eastAsia" w:ascii="仿宋_GB2312" w:hAnsi="仿宋_GB2312" w:eastAsia="仿宋_GB2312" w:cs="仿宋_GB2312"/>
          <w:color w:val="auto"/>
          <w:sz w:val="32"/>
          <w:szCs w:val="32"/>
        </w:rPr>
        <w:t>响应级别的地震发生后，</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抗震救灾指挥部启动</w:t>
      </w:r>
      <w:r>
        <w:rPr>
          <w:rFonts w:hint="eastAsia" w:ascii="仿宋" w:hAnsi="仿宋" w:eastAsia="仿宋" w:cs="仿宋"/>
          <w:color w:val="auto"/>
          <w:sz w:val="32"/>
          <w:szCs w:val="32"/>
          <w:lang w:eastAsia="zh-CN"/>
        </w:rPr>
        <w:t>Ⅱ</w:t>
      </w:r>
      <w:r>
        <w:rPr>
          <w:rFonts w:hint="eastAsia" w:ascii="仿宋_GB2312" w:hAnsi="仿宋_GB2312" w:eastAsia="仿宋_GB2312" w:cs="仿宋_GB2312"/>
          <w:color w:val="auto"/>
          <w:sz w:val="32"/>
          <w:szCs w:val="32"/>
        </w:rPr>
        <w:t>级响应级别，负责先期抗震救灾的指挥工作，同时上报震灾相关情况，待</w:t>
      </w:r>
      <w:r>
        <w:rPr>
          <w:rFonts w:hint="eastAsia" w:ascii="仿宋_GB2312" w:hAnsi="仿宋_GB2312" w:eastAsia="仿宋_GB2312" w:cs="仿宋_GB2312"/>
          <w:color w:val="auto"/>
          <w:sz w:val="32"/>
          <w:szCs w:val="32"/>
          <w:lang w:val="en-US" w:eastAsia="zh-CN"/>
        </w:rPr>
        <w:t>市</w:t>
      </w:r>
      <w:r>
        <w:rPr>
          <w:rFonts w:hint="eastAsia" w:ascii="仿宋_GB2312" w:hAnsi="仿宋_GB2312" w:eastAsia="仿宋_GB2312" w:cs="仿宋_GB2312"/>
          <w:color w:val="auto"/>
          <w:sz w:val="32"/>
          <w:szCs w:val="32"/>
        </w:rPr>
        <w:t>抗震救灾指挥部成立，立即配合上级抗震救灾指挥部的工作。按上级抗震救灾指挥部统一部署开展抗震救灾工作，并提供应急指挥保障和服务工作</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符合</w:t>
      </w:r>
      <w:r>
        <w:rPr>
          <w:rFonts w:hint="eastAsia" w:ascii="仿宋" w:hAnsi="仿宋" w:eastAsia="仿宋" w:cs="仿宋"/>
          <w:color w:val="auto"/>
          <w:sz w:val="32"/>
          <w:szCs w:val="32"/>
        </w:rPr>
        <w:t>Ⅲ</w:t>
      </w:r>
      <w:r>
        <w:rPr>
          <w:rFonts w:hint="eastAsia" w:ascii="仿宋_GB2312" w:hAnsi="仿宋_GB2312" w:eastAsia="仿宋_GB2312" w:cs="仿宋_GB2312"/>
          <w:color w:val="auto"/>
          <w:sz w:val="32"/>
          <w:szCs w:val="32"/>
        </w:rPr>
        <w:t>级响应级别的地震发生后，</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抗震救灾指挥部自行启动相应的地震应急预案。</w:t>
      </w:r>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有感地震由</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应急管理部门组织应对。</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41" w:name="_Toc18087"/>
      <w:bookmarkStart w:id="42" w:name="_Toc6916"/>
      <w:r>
        <w:rPr>
          <w:rFonts w:hint="eastAsia" w:ascii="黑体" w:hAnsi="黑体" w:eastAsia="黑体" w:cs="黑体"/>
          <w:bCs/>
          <w:kern w:val="44"/>
          <w:sz w:val="32"/>
          <w:szCs w:val="44"/>
          <w:lang w:val="en-US" w:eastAsia="zh-CN"/>
        </w:rPr>
        <w:t>5.4响应级别调整</w:t>
      </w:r>
      <w:bookmarkEnd w:id="41"/>
      <w:bookmarkEnd w:id="42"/>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地震应急响应启动后，可视地震灾害事态发展情况对响应级别及时进行调整，避免响应不足或响应过度。对于发生在重点地区或重大活动举办、重要会议召开等时期的地震灾害，可适当提高响应级别。</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43" w:name="_Toc31051"/>
      <w:bookmarkStart w:id="44" w:name="_Toc27883"/>
      <w:bookmarkStart w:id="45" w:name="_Toc11254"/>
      <w:r>
        <w:rPr>
          <w:rFonts w:hint="eastAsia" w:ascii="黑体" w:hAnsi="黑体" w:eastAsia="黑体" w:cs="黑体"/>
          <w:bCs/>
          <w:kern w:val="44"/>
          <w:sz w:val="32"/>
          <w:szCs w:val="44"/>
          <w:lang w:val="en-US" w:eastAsia="zh-CN"/>
        </w:rPr>
        <w:t>5.5响应终止</w:t>
      </w:r>
      <w:bookmarkEnd w:id="43"/>
      <w:bookmarkEnd w:id="44"/>
      <w:bookmarkEnd w:id="45"/>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当应急期过后，</w:t>
      </w: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抗震救灾指挥部根据上级指挥部的意见及灾区救援情况，决定Ⅰ级、Ⅱ级响应终止。</w:t>
      </w:r>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区</w:t>
      </w:r>
      <w:r>
        <w:rPr>
          <w:rFonts w:hint="eastAsia" w:ascii="仿宋_GB2312" w:hAnsi="仿宋_GB2312" w:eastAsia="仿宋_GB2312" w:cs="仿宋_GB2312"/>
          <w:color w:val="auto"/>
          <w:sz w:val="32"/>
          <w:szCs w:val="32"/>
        </w:rPr>
        <w:t>抗震救灾指挥部根据灾区救援情况，决定Ⅲ级响应终止。</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0"/>
        <w:rPr>
          <w:rFonts w:hint="eastAsia" w:ascii="黑体" w:hAnsi="黑体" w:eastAsia="黑体" w:cs="黑体"/>
          <w:bCs/>
          <w:kern w:val="44"/>
          <w:sz w:val="32"/>
          <w:szCs w:val="44"/>
          <w:lang w:val="en-US" w:eastAsia="zh-CN"/>
        </w:rPr>
      </w:pPr>
      <w:bookmarkStart w:id="46" w:name="_Toc1198"/>
      <w:bookmarkStart w:id="47" w:name="_Toc17705"/>
      <w:r>
        <w:rPr>
          <w:rFonts w:hint="eastAsia" w:ascii="黑体" w:hAnsi="黑体" w:eastAsia="黑体" w:cs="黑体"/>
          <w:bCs/>
          <w:kern w:val="44"/>
          <w:sz w:val="32"/>
          <w:szCs w:val="44"/>
          <w:lang w:val="en-US" w:eastAsia="zh-CN"/>
        </w:rPr>
        <w:t>6应急响应措施</w:t>
      </w:r>
      <w:bookmarkEnd w:id="46"/>
    </w:p>
    <w:p>
      <w:pPr>
        <w:keepNext w:val="0"/>
        <w:keepLines w:val="0"/>
        <w:pageBreakBefore w:val="0"/>
        <w:widowControl w:val="0"/>
        <w:kinsoku/>
        <w:wordWrap/>
        <w:overflowPunct/>
        <w:topLinePunct w:val="0"/>
        <w:autoSpaceDE/>
        <w:autoSpaceDN/>
        <w:bidi w:val="0"/>
        <w:adjustRightInd/>
        <w:snapToGrid/>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地震灾害发生后，根据灾情和抗震救灾需要，</w:t>
      </w:r>
      <w:r>
        <w:rPr>
          <w:rFonts w:hint="eastAsia" w:ascii="仿宋_GB2312" w:hAnsi="仿宋_GB2312" w:eastAsia="仿宋_GB2312" w:cs="仿宋_GB2312"/>
          <w:color w:val="auto"/>
          <w:sz w:val="32"/>
          <w:szCs w:val="32"/>
          <w:lang w:eastAsia="zh-CN"/>
        </w:rPr>
        <w:t>区</w:t>
      </w:r>
      <w:r>
        <w:rPr>
          <w:rFonts w:hint="eastAsia" w:ascii="仿宋_GB2312" w:hAnsi="仿宋_GB2312" w:eastAsia="仿宋_GB2312" w:cs="仿宋_GB2312"/>
          <w:color w:val="auto"/>
          <w:sz w:val="32"/>
          <w:szCs w:val="32"/>
        </w:rPr>
        <w:t>抗震救灾指挥部依据分级负责的原则，立即组织相关部门釆取紧急救助措施。</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48" w:name="_Toc22474"/>
      <w:bookmarkStart w:id="49" w:name="_Toc8256"/>
      <w:r>
        <w:rPr>
          <w:rFonts w:hint="eastAsia" w:ascii="黑体" w:hAnsi="黑体" w:eastAsia="黑体" w:cs="黑体"/>
          <w:bCs/>
          <w:kern w:val="44"/>
          <w:sz w:val="32"/>
          <w:szCs w:val="44"/>
          <w:lang w:val="en-US" w:eastAsia="zh-CN"/>
        </w:rPr>
        <w:t>6.1搜救受困人员</w:t>
      </w:r>
      <w:bookmarkEnd w:id="48"/>
      <w:bookmarkEnd w:id="49"/>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宋体" w:hAnsi="宋体" w:eastAsia="仿宋_GB2312"/>
          <w:color w:val="000000"/>
          <w:sz w:val="32"/>
          <w:szCs w:val="32"/>
          <w:highlight w:val="none"/>
          <w:lang w:val="en-US" w:eastAsia="zh-CN"/>
        </w:rPr>
        <w:t>各基层组织、社会组织等作为突发事件“第一响应人”，第一时间组织开展自救互救，并在镇（街道）和公安机关指挥下做好秩序维护、道路引领等先期处置工作。先期处置时要迅速、准确研判态势，及时疏散安置周边受影响的居民，做好现场管控，第一时间控制现场事态。</w:t>
      </w:r>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 w:cs="仿宋_GB2312"/>
          <w:color w:val="auto"/>
          <w:sz w:val="32"/>
          <w:szCs w:val="32"/>
          <w:lang w:eastAsia="zh-CN"/>
        </w:rPr>
      </w:pPr>
      <w:r>
        <w:rPr>
          <w:rFonts w:hint="eastAsia" w:ascii="仿宋_GB2312" w:hAnsi="仿宋_GB2312" w:eastAsia="仿宋_GB2312" w:cs="仿宋_GB2312"/>
          <w:color w:val="auto"/>
          <w:sz w:val="32"/>
          <w:szCs w:val="32"/>
        </w:rPr>
        <w:t>同时</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组织协调当地</w:t>
      </w:r>
      <w:r>
        <w:rPr>
          <w:rFonts w:hint="eastAsia" w:ascii="仿宋_GB2312" w:hAnsi="仿宋_GB2312" w:eastAsia="仿宋_GB2312" w:cs="仿宋_GB2312"/>
          <w:color w:val="auto"/>
          <w:sz w:val="32"/>
          <w:szCs w:val="32"/>
          <w:lang w:val="en-US" w:eastAsia="zh-CN"/>
        </w:rPr>
        <w:t>武装部队</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消防救援队伍</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住建</w:t>
      </w:r>
      <w:r>
        <w:rPr>
          <w:rFonts w:hint="eastAsia" w:ascii="仿宋_GB2312" w:hAnsi="仿宋_GB2312" w:eastAsia="仿宋_GB2312" w:cs="仿宋_GB2312"/>
          <w:color w:val="auto"/>
          <w:sz w:val="32"/>
          <w:szCs w:val="32"/>
        </w:rPr>
        <w:t>等各方面救援力量，抢救被压埋人员。</w:t>
      </w:r>
      <w:r>
        <w:rPr>
          <w:rFonts w:hint="eastAsia" w:ascii="仿宋" w:hAnsi="仿宋" w:eastAsia="仿宋" w:cs="仿宋"/>
          <w:color w:val="auto"/>
          <w:sz w:val="32"/>
          <w:szCs w:val="32"/>
          <w:lang w:val="en-US" w:eastAsia="zh-CN"/>
        </w:rPr>
        <w:t>对</w:t>
      </w:r>
      <w:r>
        <w:rPr>
          <w:rFonts w:hint="eastAsia" w:ascii="仿宋" w:hAnsi="仿宋" w:eastAsia="仿宋" w:cs="仿宋"/>
          <w:color w:val="auto"/>
          <w:sz w:val="32"/>
          <w:szCs w:val="32"/>
        </w:rPr>
        <w:t>老、幼、病、残、孕等特殊</w:t>
      </w:r>
      <w:r>
        <w:rPr>
          <w:rFonts w:hint="eastAsia" w:ascii="仿宋" w:hAnsi="仿宋" w:eastAsia="仿宋" w:cs="仿宋"/>
          <w:color w:val="auto"/>
          <w:sz w:val="32"/>
          <w:szCs w:val="32"/>
          <w:lang w:val="en-US" w:eastAsia="zh-CN"/>
        </w:rPr>
        <w:t>群体要明确责任人</w:t>
      </w: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采用有针对性的应急处置与救援措施</w:t>
      </w:r>
      <w:r>
        <w:rPr>
          <w:rFonts w:hint="eastAsia" w:ascii="仿宋" w:hAnsi="仿宋" w:eastAsia="仿宋" w:cs="仿宋"/>
          <w:color w:val="auto"/>
          <w:sz w:val="32"/>
          <w:szCs w:val="32"/>
          <w:lang w:eastAsia="zh-CN"/>
        </w:rPr>
        <w:t>。</w:t>
      </w:r>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现场救援队伍之间加强衔接和配合，合理划分责任区边界，遇有危险时及时传递警报，做好自身安全防护。</w:t>
      </w:r>
      <w:r>
        <w:rPr>
          <w:rFonts w:hint="eastAsia" w:ascii="仿宋_GB2312" w:hAnsi="仿宋_GB2312" w:eastAsia="仿宋_GB2312" w:cs="仿宋_GB2312"/>
          <w:color w:val="auto"/>
          <w:sz w:val="32"/>
          <w:szCs w:val="32"/>
          <w:lang w:val="en-US" w:eastAsia="zh-CN"/>
        </w:rPr>
        <w:t>救援的同时，视情况迅速与市抗震救灾指挥部汇报情况，并请求支援。</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50" w:name="_Toc20805"/>
      <w:bookmarkStart w:id="51" w:name="_Toc1755"/>
      <w:r>
        <w:rPr>
          <w:rFonts w:hint="eastAsia" w:ascii="黑体" w:hAnsi="黑体" w:eastAsia="黑体" w:cs="黑体"/>
          <w:bCs/>
          <w:kern w:val="44"/>
          <w:sz w:val="32"/>
          <w:szCs w:val="44"/>
          <w:lang w:val="en-US" w:eastAsia="zh-CN"/>
        </w:rPr>
        <w:t>6.2开展医疗救护和卫生防疫</w:t>
      </w:r>
      <w:bookmarkEnd w:id="50"/>
      <w:bookmarkEnd w:id="51"/>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迅速组织协调应急医疗队伍赶赴现场，抢救受伤群众，必要时建立野外流动医院或医疗点，实施现场救治。加强救护车、医疗器械、药品和血浆的组织调度，特别是加大对重灾区及偏远地区医疗器械、药品供应，确保被救（伤、病）人员得到及时医治，最大程度减少伤员致死、致残。统筹周边地区的医疗资源，根据需要分流重伤员，实施异地救治，开展灾后心理援助。</w:t>
      </w:r>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强灾区卫生防疫工作。及时对灾区水源进行监测消毒，开展食品安全风险监测和饮用水卫生监督；妥善处置遇难者遗体，做好死亡动物、医疗废弃物、生活垃圾、粪便等消毒和无害化处理；加强鼠疫、狂犬病以及霍乱等肠道传染病的监测、防控和处理，有针对性接种疫苗；实行重大传染病和突发卫生事件每日报告制度。</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52" w:name="_Toc10221"/>
      <w:bookmarkStart w:id="53" w:name="_Toc19479"/>
      <w:r>
        <w:rPr>
          <w:rFonts w:hint="eastAsia" w:ascii="黑体" w:hAnsi="黑体" w:eastAsia="黑体" w:cs="黑体"/>
          <w:bCs/>
          <w:kern w:val="44"/>
          <w:sz w:val="32"/>
          <w:szCs w:val="44"/>
          <w:lang w:val="en-US" w:eastAsia="zh-CN"/>
        </w:rPr>
        <w:t>6.3安置受灾群众</w:t>
      </w:r>
      <w:bookmarkEnd w:id="52"/>
      <w:bookmarkEnd w:id="53"/>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开放应急避难场所，组织筹集和调运食品、饮用水、衣被、帐篷、移动厕所等各类救灾物资，解决受灾群众吃饭、饮水、穿衣、住处等问题；在受灾</w:t>
      </w:r>
      <w:r>
        <w:rPr>
          <w:rFonts w:hint="eastAsia" w:ascii="仿宋_GB2312" w:hAnsi="仿宋_GB2312" w:eastAsia="仿宋_GB2312" w:cs="仿宋_GB2312"/>
          <w:color w:val="auto"/>
          <w:sz w:val="32"/>
          <w:szCs w:val="32"/>
          <w:lang w:val="en-US" w:eastAsia="zh-CN"/>
        </w:rPr>
        <w:t>镇（</w:t>
      </w:r>
      <w:r>
        <w:rPr>
          <w:rFonts w:hint="eastAsia" w:ascii="仿宋_GB2312" w:hAnsi="仿宋_GB2312" w:eastAsia="仿宋_GB2312" w:cs="仿宋_GB2312"/>
          <w:color w:val="auto"/>
          <w:sz w:val="32"/>
          <w:szCs w:val="32"/>
        </w:rPr>
        <w:t>街道</w:t>
      </w:r>
      <w:r>
        <w:rPr>
          <w:rFonts w:hint="eastAsia" w:ascii="仿宋_GB2312" w:hAnsi="仿宋_GB2312" w:eastAsia="仿宋_GB2312" w:cs="仿宋_GB2312"/>
          <w:color w:val="auto"/>
          <w:sz w:val="32"/>
          <w:szCs w:val="32"/>
          <w:lang w:val="en-US" w:eastAsia="zh-CN"/>
        </w:rPr>
        <w:t>）、区域服务中心</w:t>
      </w:r>
      <w:r>
        <w:rPr>
          <w:rFonts w:hint="eastAsia" w:ascii="仿宋_GB2312" w:hAnsi="仿宋_GB2312" w:eastAsia="仿宋_GB2312" w:cs="仿宋_GB2312"/>
          <w:color w:val="auto"/>
          <w:sz w:val="32"/>
          <w:szCs w:val="32"/>
        </w:rPr>
        <w:t>设置生活用品发放点，确保生活用品的有序发放；根据需要组织生产、调运、安装活动板房和简易房；在受灾群众集中安置点配备必要的消防设备器材，严防火灾发生。救灾物资优先保证学校、医院的需要；优先安置孤儿、孤老及残疾人员，确保其基本生活。鼓励采取投亲靠友等方式，广泛动员社会力量安置受灾群众。</w:t>
      </w:r>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做好遇难人员的善后工作，抚慰遇难者家属；积极创造条件，组织灾区学校复课。</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54" w:name="_Toc110"/>
      <w:bookmarkStart w:id="55" w:name="_Toc916"/>
      <w:r>
        <w:rPr>
          <w:rFonts w:hint="eastAsia" w:ascii="黑体" w:hAnsi="黑体" w:eastAsia="黑体" w:cs="黑体"/>
          <w:bCs/>
          <w:kern w:val="44"/>
          <w:sz w:val="32"/>
          <w:szCs w:val="44"/>
          <w:lang w:val="en-US" w:eastAsia="zh-CN"/>
        </w:rPr>
        <w:t>6.4抢修基础设施</w:t>
      </w:r>
      <w:bookmarkEnd w:id="54"/>
      <w:bookmarkEnd w:id="55"/>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抢通修复因灾损毁的交通设施，协调运力，优先保证应急抢险救援人员、救灾物资和伤病人员的运输需要。抢修供电、供水、供气、通信、广播电视等基础设施，保障灾区群众基本生活需要和应急工作需要。</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56" w:name="_Toc5883"/>
      <w:bookmarkStart w:id="57" w:name="_Toc18865"/>
      <w:r>
        <w:rPr>
          <w:rFonts w:hint="eastAsia" w:ascii="黑体" w:hAnsi="黑体" w:eastAsia="黑体" w:cs="黑体"/>
          <w:bCs/>
          <w:kern w:val="44"/>
          <w:sz w:val="32"/>
          <w:szCs w:val="44"/>
          <w:lang w:val="en-US" w:eastAsia="zh-CN"/>
        </w:rPr>
        <w:t>6.5防御次生灾害</w:t>
      </w:r>
      <w:bookmarkEnd w:id="56"/>
      <w:bookmarkEnd w:id="57"/>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加强易燃、易爆、易泄漏等危险化学品生产储存设备、输配电线路、供电、供气等设施受损情况排查，及时采取安全防范措施</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配合上级部门</w:t>
      </w:r>
      <w:r>
        <w:rPr>
          <w:rFonts w:hint="eastAsia" w:ascii="仿宋_GB2312" w:hAnsi="仿宋_GB2312" w:eastAsia="仿宋_GB2312" w:cs="仿宋_GB2312"/>
          <w:color w:val="auto"/>
          <w:sz w:val="32"/>
          <w:szCs w:val="32"/>
        </w:rPr>
        <w:t>加强次生灾害监测，防范因强余震和降雨等造成新的人员伤亡和交通堵塞。</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58" w:name="_Toc32002"/>
      <w:bookmarkStart w:id="59" w:name="_Toc225"/>
      <w:r>
        <w:rPr>
          <w:rFonts w:hint="eastAsia" w:ascii="黑体" w:hAnsi="黑体" w:eastAsia="黑体" w:cs="黑体"/>
          <w:bCs/>
          <w:kern w:val="44"/>
          <w:sz w:val="32"/>
          <w:szCs w:val="44"/>
          <w:lang w:val="en-US" w:eastAsia="zh-CN"/>
        </w:rPr>
        <w:t>6.6维护社会治安</w:t>
      </w:r>
      <w:bookmarkEnd w:id="58"/>
      <w:bookmarkEnd w:id="59"/>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严厉打击盗窃、抢劫、哄抢救灾物资、借机传播谣言制造社会恐慌等违法犯罪行为；在受灾群众安置点、救灾物资存放点等重点地区，增设临时警务站，加强治安巡逻，增强灾区群众的安全感；加强对党政机关、要害部门、金融单位、监狱等重要场所的警戒，做好涉灾矛盾纠纷化解、法律服务和法律援助工作，维护社会稳定。</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60" w:name="_Toc12276"/>
      <w:bookmarkStart w:id="61" w:name="_Toc20811"/>
      <w:r>
        <w:rPr>
          <w:rFonts w:hint="eastAsia" w:ascii="黑体" w:hAnsi="黑体" w:eastAsia="黑体" w:cs="黑体"/>
          <w:bCs/>
          <w:kern w:val="44"/>
          <w:sz w:val="32"/>
          <w:szCs w:val="44"/>
          <w:lang w:val="en-US" w:eastAsia="zh-CN"/>
        </w:rPr>
        <w:t>6.7开展社会动员</w:t>
      </w:r>
      <w:bookmarkEnd w:id="60"/>
      <w:bookmarkEnd w:id="61"/>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加强志愿服务管理；及时开通志愿服务联系电话，统一接收志愿者组织报名，做好志愿者派遣和相关服务工作；根据灾区需求、交通运输等情况，向社会公布志愿服务需求指南，引导志愿者安全有序参与。</w:t>
      </w:r>
    </w:p>
    <w:p>
      <w:pPr>
        <w:keepNext w:val="0"/>
        <w:keepLines w:val="0"/>
        <w:pageBreakBefore w:val="0"/>
        <w:widowControl w:val="0"/>
        <w:kinsoku/>
        <w:wordWrap/>
        <w:overflowPunct/>
        <w:topLinePunct w:val="0"/>
        <w:autoSpaceDE/>
        <w:autoSpaceDN/>
        <w:bidi w:val="0"/>
        <w:spacing w:afterAutospacing="0" w:line="360" w:lineRule="auto"/>
        <w:ind w:firstLine="640" w:firstLineChars="200"/>
        <w:jc w:val="both"/>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视情开展为灾区人民捐款捐物活动，加强救灾捐赠的组织发动和款物接收、统计、分配、使用、公示反馈等各环节工作。</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0"/>
        <w:rPr>
          <w:rFonts w:hint="eastAsia" w:ascii="黑体" w:hAnsi="黑体" w:eastAsia="黑体" w:cs="黑体"/>
          <w:bCs/>
          <w:kern w:val="44"/>
          <w:sz w:val="32"/>
          <w:szCs w:val="44"/>
          <w:lang w:val="en-US" w:eastAsia="zh-CN"/>
        </w:rPr>
      </w:pPr>
      <w:bookmarkStart w:id="62" w:name="_Toc1640"/>
      <w:r>
        <w:rPr>
          <w:rFonts w:hint="eastAsia" w:ascii="黑体" w:hAnsi="黑体" w:eastAsia="黑体" w:cs="黑体"/>
          <w:bCs/>
          <w:kern w:val="44"/>
          <w:sz w:val="32"/>
          <w:szCs w:val="44"/>
          <w:lang w:val="en-US" w:eastAsia="zh-CN"/>
        </w:rPr>
        <w:t>7灾后救助与恢复重建</w:t>
      </w:r>
      <w:bookmarkEnd w:id="47"/>
      <w:bookmarkEnd w:id="62"/>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63" w:name="_Toc16882"/>
      <w:bookmarkStart w:id="64" w:name="_Toc7824"/>
      <w:r>
        <w:rPr>
          <w:rFonts w:hint="eastAsia" w:ascii="黑体" w:hAnsi="黑体" w:eastAsia="黑体" w:cs="黑体"/>
          <w:bCs/>
          <w:kern w:val="44"/>
          <w:sz w:val="32"/>
          <w:szCs w:val="44"/>
          <w:lang w:val="en-US" w:eastAsia="zh-CN"/>
        </w:rPr>
        <w:t>7.1善后处置</w:t>
      </w:r>
      <w:bookmarkEnd w:id="63"/>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区相关委办局和区政府负责组织及时清理和处理污染物。因救灾需要临时征用的房屋、运输工具、通信设备等应当及时归还，造成损坏或者无法归还的，按照有关规定给予补偿。</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65" w:name="_Toc21733"/>
      <w:r>
        <w:rPr>
          <w:rFonts w:hint="eastAsia" w:ascii="黑体" w:hAnsi="黑体" w:eastAsia="黑体" w:cs="黑体"/>
          <w:bCs/>
          <w:kern w:val="44"/>
          <w:sz w:val="32"/>
          <w:szCs w:val="44"/>
          <w:lang w:val="en-US" w:eastAsia="zh-CN"/>
        </w:rPr>
        <w:t>7.2过渡性安置</w:t>
      </w:r>
      <w:bookmarkEnd w:id="65"/>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镇（街道）、区域服务中心负责受灾群众过渡性安置。过渡性安置可采取就地安置与异地安置、政府安置与自行安置相结合等方式。安置地点应选择在安全地区，避开地震活动断层等存在安全隐患的地方，应急避难场所内应设置保障民众基本生活需要的设施，区相关部门协调保障生活物资供应，并加强食品卫生、疫病等方面的监测及防控。</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66" w:name="_Toc2248"/>
      <w:r>
        <w:rPr>
          <w:rFonts w:hint="eastAsia" w:ascii="黑体" w:hAnsi="黑体" w:eastAsia="黑体" w:cs="黑体"/>
          <w:bCs/>
          <w:kern w:val="44"/>
          <w:sz w:val="32"/>
          <w:szCs w:val="44"/>
          <w:lang w:val="en-US" w:eastAsia="zh-CN"/>
        </w:rPr>
        <w:t>7.3规划重建</w:t>
      </w:r>
      <w:bookmarkEnd w:id="66"/>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特别重大地震灾害事件发生后，区委、区政府在市委、市政府的支持和指导下，与相关部门共同编制灾后恢复重建规划，经报市委、市政府批准后，组织实施。</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重大地震灾害事件发生后，由区政府组织相关镇（街道）、区域服务中心按照短期恢复与长远发展并重的原则，制定恢复重建规划，在区政府的支持和指导下组织实施。</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较大、一般地震灾害发生后，区政府根据实际工作需要指导受灾镇（街道）、区域服务中心编制地震灾后恢复重建规划。</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受灾镇（街道）、区域服务中心应当根据灾后恢复重建规划，有计划、分步骤地组织实施本区域灾后恢复重建。区政府有关部门对灾区恢复重建规划的实施给予指导。</w:t>
      </w:r>
    </w:p>
    <w:bookmarkEnd w:id="64"/>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0"/>
        <w:rPr>
          <w:rFonts w:hint="eastAsia" w:ascii="黑体" w:hAnsi="黑体" w:eastAsia="黑体" w:cs="黑体"/>
          <w:bCs/>
          <w:kern w:val="44"/>
          <w:sz w:val="32"/>
          <w:szCs w:val="44"/>
          <w:lang w:val="en-US" w:eastAsia="zh-CN"/>
        </w:rPr>
      </w:pPr>
      <w:bookmarkStart w:id="67" w:name="_Toc3025"/>
      <w:bookmarkStart w:id="68" w:name="_Toc11926"/>
      <w:r>
        <w:rPr>
          <w:rFonts w:hint="eastAsia" w:ascii="黑体" w:hAnsi="黑体" w:eastAsia="黑体" w:cs="黑体"/>
          <w:bCs/>
          <w:kern w:val="44"/>
          <w:sz w:val="32"/>
          <w:szCs w:val="44"/>
          <w:lang w:val="en-US" w:eastAsia="zh-CN"/>
        </w:rPr>
        <w:t>8保障措施</w:t>
      </w:r>
      <w:bookmarkEnd w:id="67"/>
      <w:bookmarkEnd w:id="68"/>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69" w:name="_Toc8636"/>
      <w:r>
        <w:rPr>
          <w:rFonts w:hint="eastAsia" w:ascii="黑体" w:hAnsi="黑体" w:eastAsia="黑体" w:cs="黑体"/>
          <w:bCs/>
          <w:kern w:val="44"/>
          <w:sz w:val="32"/>
          <w:szCs w:val="44"/>
          <w:lang w:val="en-US" w:eastAsia="zh-CN"/>
        </w:rPr>
        <w:t>8.1队伍保障</w:t>
      </w:r>
      <w:bookmarkEnd w:id="69"/>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各相关部门负责做好队伍建设及管理工作，按照“一队多用、平灾结合、专兼结合、综合减灾”的原则，落实人员及装备，定期组织应急培训和演练，以提高地震灾害抢险救援能力。</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区应急管理局负责地震应急专家队伍组建，组织地震灾害专业应急救援力量建设，指导综合性应急救援专业队伍建设和各区及社会应急救援力量建设。</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区有关部门加强公安、消防、地质、危险化学品、医疗卫生等地震灾害应急救援队伍建设，配备必要的物资装备，经常性开展协同演练，提高共同应对地震灾害的能力。</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镇（街道）、区域服务中心组织动员社会各方面力量，建立基层地震抢险救灾队伍，加强日常管理和培训。镇（街道）、区域服务中心、各有关部门发挥共青团和红十字会作用，依托社会团体、企事业单位及社区建立地震应急救援志愿者队伍，形成广泛参与地震应急救援的社会动员机制。</w:t>
      </w:r>
    </w:p>
    <w:p>
      <w:pPr>
        <w:ind w:firstLine="640" w:firstLineChars="200"/>
        <w:rPr>
          <w:rFonts w:ascii="仿宋" w:hAnsi="仿宋" w:eastAsia="仿宋" w:cs="仿宋"/>
          <w:color w:val="000000"/>
          <w:sz w:val="32"/>
          <w:szCs w:val="32"/>
        </w:rPr>
      </w:pPr>
      <w:r>
        <w:rPr>
          <w:rFonts w:hint="eastAsia" w:ascii="仿宋_GB2312" w:hAnsi="仿宋_GB2312" w:eastAsia="仿宋_GB2312" w:cs="仿宋_GB2312"/>
          <w:color w:val="000000"/>
          <w:sz w:val="32"/>
          <w:szCs w:val="32"/>
        </w:rPr>
        <w:t>交通、供水、供电、供气、通信等生命线工程设施产权单位、管理单位或生产经营单位加强抢险抢修队伍建设。</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70" w:name="_Toc24524"/>
      <w:r>
        <w:rPr>
          <w:rFonts w:hint="eastAsia" w:ascii="黑体" w:hAnsi="黑体" w:eastAsia="黑体" w:cs="黑体"/>
          <w:bCs/>
          <w:kern w:val="44"/>
          <w:sz w:val="32"/>
          <w:szCs w:val="44"/>
          <w:lang w:val="en-US" w:eastAsia="zh-CN"/>
        </w:rPr>
        <w:t>8.2技术保障</w:t>
      </w:r>
      <w:bookmarkEnd w:id="70"/>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w:t>
      </w:r>
      <w:r>
        <w:rPr>
          <w:rFonts w:hint="eastAsia" w:ascii="仿宋_GB2312" w:hAnsi="仿宋_GB2312" w:eastAsia="仿宋_GB2312" w:cs="仿宋_GB2312"/>
          <w:color w:val="000000"/>
          <w:sz w:val="32"/>
          <w:szCs w:val="32"/>
          <w:lang w:val="en-US" w:eastAsia="zh-CN"/>
        </w:rPr>
        <w:t>政府</w:t>
      </w:r>
      <w:r>
        <w:rPr>
          <w:rFonts w:hint="eastAsia" w:ascii="仿宋_GB2312" w:hAnsi="仿宋_GB2312" w:eastAsia="仿宋_GB2312" w:cs="仿宋_GB2312"/>
          <w:color w:val="000000"/>
          <w:sz w:val="32"/>
          <w:szCs w:val="32"/>
        </w:rPr>
        <w:t>负责</w:t>
      </w:r>
      <w:r>
        <w:rPr>
          <w:rFonts w:hint="eastAsia" w:ascii="仿宋_GB2312" w:hAnsi="仿宋_GB2312" w:eastAsia="仿宋_GB2312" w:cs="仿宋_GB2312"/>
          <w:color w:val="000000"/>
          <w:sz w:val="32"/>
          <w:szCs w:val="32"/>
          <w:lang w:val="en-US" w:eastAsia="zh-CN"/>
        </w:rPr>
        <w:t>应建立全面反应本地实际的地震应急基础数据库，并实施动态管理</w:t>
      </w:r>
      <w:r>
        <w:rPr>
          <w:rFonts w:hint="eastAsia" w:ascii="仿宋_GB2312" w:hAnsi="仿宋_GB2312" w:eastAsia="仿宋_GB2312" w:cs="仿宋_GB2312"/>
          <w:color w:val="000000"/>
          <w:sz w:val="32"/>
          <w:szCs w:val="32"/>
        </w:rPr>
        <w:t>；区气象部门做好气象预报预警等相关保障工作，加强气象监测，密切关注灾区重大气象变化；区相关部门配合做好相关数据的提供及更新。</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71" w:name="_Toc20360"/>
      <w:r>
        <w:rPr>
          <w:rFonts w:hint="eastAsia" w:ascii="黑体" w:hAnsi="黑体" w:eastAsia="黑体" w:cs="黑体"/>
          <w:bCs/>
          <w:kern w:val="44"/>
          <w:sz w:val="32"/>
          <w:szCs w:val="44"/>
          <w:lang w:val="en-US" w:eastAsia="zh-CN"/>
        </w:rPr>
        <w:t>8.3应急避难场所保障</w:t>
      </w:r>
      <w:bookmarkEnd w:id="71"/>
    </w:p>
    <w:p>
      <w:pPr>
        <w:ind w:firstLine="640" w:firstLineChars="200"/>
        <w:rPr>
          <w:rFonts w:ascii="仿宋" w:hAnsi="仿宋" w:eastAsia="仿宋" w:cs="仿宋"/>
          <w:color w:val="000000"/>
          <w:sz w:val="32"/>
          <w:szCs w:val="32"/>
        </w:rPr>
      </w:pPr>
      <w:r>
        <w:rPr>
          <w:rFonts w:hint="eastAsia" w:ascii="仿宋_GB2312" w:hAnsi="仿宋_GB2312" w:eastAsia="仿宋_GB2312" w:cs="仿宋_GB2312"/>
          <w:color w:val="000000"/>
          <w:sz w:val="32"/>
          <w:szCs w:val="32"/>
        </w:rPr>
        <w:t>应急管理局要加强对应急避难场所建设管理的顶层设计，推动应急避难设施建设。规划、住建、园林、体育、人防、文化和旅游、教育等部门要结合各自职责，进一步拓展广场、绿地、公园、体育场馆、人防工程、宾馆、学校等公共场所的应急避难功能，推进各级各类地震应急避难场所建设，并会同各区做好运行维护、管理和保障工作</w:t>
      </w:r>
      <w:r>
        <w:rPr>
          <w:rFonts w:hint="eastAsia" w:ascii="仿宋" w:hAnsi="仿宋" w:eastAsia="仿宋" w:cs="仿宋"/>
          <w:color w:val="000000"/>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72" w:name="_Toc28991"/>
      <w:r>
        <w:rPr>
          <w:rFonts w:hint="eastAsia" w:ascii="黑体" w:hAnsi="黑体" w:eastAsia="黑体" w:cs="黑体"/>
          <w:bCs/>
          <w:kern w:val="44"/>
          <w:sz w:val="32"/>
          <w:szCs w:val="44"/>
          <w:lang w:val="en-US" w:eastAsia="zh-CN"/>
        </w:rPr>
        <w:t>8.4救灾物资保障</w:t>
      </w:r>
      <w:bookmarkEnd w:id="72"/>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区应急管理局、</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"http://www.bjft.gov.cn/ftq/c100003de/jgxxcontent.shtml" \t "http://www.bjft.gov.cn/ftq/c100003de/_parent" </w:instrText>
      </w:r>
      <w:r>
        <w:rPr>
          <w:rFonts w:hint="eastAsia" w:ascii="仿宋_GB2312" w:hAnsi="仿宋_GB2312" w:eastAsia="仿宋_GB2312" w:cs="仿宋_GB2312"/>
        </w:rPr>
        <w:fldChar w:fldCharType="separate"/>
      </w:r>
      <w:r>
        <w:rPr>
          <w:rFonts w:hint="eastAsia" w:ascii="仿宋_GB2312" w:hAnsi="仿宋_GB2312" w:eastAsia="仿宋_GB2312" w:cs="仿宋_GB2312"/>
          <w:color w:val="000000"/>
          <w:sz w:val="32"/>
          <w:szCs w:val="32"/>
        </w:rPr>
        <w:t>市场监管局</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卫健委、工信局等有关部门，按照职能分工，建立健全地震应急救援物资储备、使用管理制度，建立地震应急救援物资生产、储存、调拨体系，制定并实施应急救灾物资保障方案；推进救灾应急物资储备库的规划建设，增加救灾物资储备品种和数量，保障震后本区食品、药品、帐篷等生活必需品及救灾物资的供给。鼓励家庭应急物资储备。</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73" w:name="_Toc11590"/>
      <w:r>
        <w:rPr>
          <w:rFonts w:hint="eastAsia" w:ascii="黑体" w:hAnsi="黑体" w:eastAsia="黑体" w:cs="黑体"/>
          <w:bCs/>
          <w:kern w:val="44"/>
          <w:sz w:val="32"/>
          <w:szCs w:val="44"/>
          <w:lang w:val="en-US" w:eastAsia="zh-CN"/>
        </w:rPr>
        <w:t>8.5应急资金保障</w:t>
      </w:r>
      <w:bookmarkEnd w:id="73"/>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按照突发事件应对专项准备资金相关管理规定，地震灾害事件发生后，区财政局应积极做好资金保障工作。相关部门按照规定，及时做好资金申请、审批工作。财政和审计部门对突发事件应对专项准备资金的使用和效益进行监管和评估。</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74" w:name="_Toc31200"/>
      <w:r>
        <w:rPr>
          <w:rFonts w:hint="eastAsia" w:ascii="黑体" w:hAnsi="黑体" w:eastAsia="黑体" w:cs="黑体"/>
          <w:bCs/>
          <w:kern w:val="44"/>
          <w:sz w:val="32"/>
          <w:szCs w:val="44"/>
          <w:lang w:val="en-US" w:eastAsia="zh-CN"/>
        </w:rPr>
        <w:t>8.6应急检查</w:t>
      </w:r>
      <w:bookmarkEnd w:id="74"/>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应急管理局会同住建局等部门组成联合检查组，依照相关检查制度规定，对镇（街道）、区域服务中心和相关委办局应急措施的落实情况进行检查。督促城市生命线工程和易发生次生、衍生灾害的部门和单位做好紧急处置和特殊保护措施等各项准备工作。</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75" w:name="_Toc9592"/>
      <w:r>
        <w:rPr>
          <w:rFonts w:hint="eastAsia" w:ascii="黑体" w:hAnsi="黑体" w:eastAsia="黑体" w:cs="黑体"/>
          <w:bCs/>
          <w:kern w:val="44"/>
          <w:sz w:val="32"/>
          <w:szCs w:val="44"/>
          <w:lang w:val="en-US" w:eastAsia="zh-CN"/>
        </w:rPr>
        <w:t>8.7宣传动员、培训和演练</w:t>
      </w:r>
      <w:bookmarkEnd w:id="75"/>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委、区政府要做好地震宣传动员工作，制定应对地震灾害事件的宣传教育规划，编制公众应对地震灾害事件的教材及宣传材料；通过广播、电视、网络等媒介宣传地震应急工作的方针、政策、法律、法规和规章；有计划地开展应对地震灾害事件的相关培训；按照相关规定，开展专业性地震应急演练。区抗震救灾指挥部办公室适时组织开展综合性应急演练。</w:t>
      </w:r>
    </w:p>
    <w:p>
      <w:pPr>
        <w:ind w:firstLine="640" w:firstLineChars="200"/>
        <w:rPr>
          <w:rFonts w:ascii="仿宋" w:hAnsi="仿宋" w:eastAsia="仿宋" w:cs="仿宋"/>
        </w:rPr>
      </w:pPr>
      <w:r>
        <w:rPr>
          <w:rFonts w:hint="eastAsia" w:ascii="仿宋_GB2312" w:hAnsi="仿宋_GB2312" w:eastAsia="仿宋_GB2312" w:cs="仿宋_GB2312"/>
          <w:color w:val="000000"/>
          <w:sz w:val="32"/>
          <w:szCs w:val="32"/>
        </w:rPr>
        <w:t>镇（街道）、区域服务中心、社区（村）、社会团体、企事业单位等组织本地区、本单位人员开展防震减灾法律法规、自救互救常识等的宣传教育和培训，组织相关演练</w:t>
      </w:r>
      <w:r>
        <w:rPr>
          <w:rFonts w:hint="eastAsia" w:ascii="仿宋" w:hAnsi="仿宋" w:eastAsia="仿宋" w:cs="仿宋"/>
          <w:color w:val="000000"/>
          <w:sz w:val="32"/>
          <w:szCs w:val="32"/>
        </w:rPr>
        <w:t>。</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0"/>
        <w:rPr>
          <w:rFonts w:hint="eastAsia" w:ascii="黑体" w:hAnsi="黑体" w:eastAsia="黑体" w:cs="黑体"/>
          <w:bCs/>
          <w:kern w:val="44"/>
          <w:sz w:val="32"/>
          <w:szCs w:val="44"/>
          <w:lang w:val="en-US" w:eastAsia="zh-CN"/>
        </w:rPr>
      </w:pPr>
      <w:bookmarkStart w:id="76" w:name="_Toc29743"/>
      <w:bookmarkStart w:id="77" w:name="_Toc7054"/>
      <w:r>
        <w:rPr>
          <w:rFonts w:hint="eastAsia" w:ascii="黑体" w:hAnsi="黑体" w:eastAsia="黑体" w:cs="黑体"/>
          <w:bCs/>
          <w:kern w:val="44"/>
          <w:sz w:val="32"/>
          <w:szCs w:val="44"/>
          <w:lang w:val="en-US" w:eastAsia="zh-CN"/>
        </w:rPr>
        <w:t>9其他地震事件的应急处置</w:t>
      </w:r>
      <w:bookmarkEnd w:id="76"/>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78" w:name="_Toc17020"/>
      <w:r>
        <w:rPr>
          <w:rFonts w:hint="eastAsia" w:ascii="黑体" w:hAnsi="黑体" w:eastAsia="黑体" w:cs="黑体"/>
          <w:bCs/>
          <w:kern w:val="44"/>
          <w:sz w:val="32"/>
          <w:szCs w:val="44"/>
          <w:lang w:val="en-US" w:eastAsia="zh-CN"/>
        </w:rPr>
        <w:t>9.1临震预报事件</w:t>
      </w:r>
      <w:bookmarkEnd w:id="78"/>
    </w:p>
    <w:p>
      <w:pPr>
        <w:spacing w:line="312" w:lineRule="auto"/>
        <w:ind w:firstLine="640" w:firstLineChars="200"/>
        <w:outlineLvl w:val="2"/>
        <w:rPr>
          <w:rFonts w:hint="eastAsia"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lang w:val="en-US" w:eastAsia="zh-CN"/>
        </w:rPr>
        <w:t>9</w:t>
      </w:r>
      <w:r>
        <w:rPr>
          <w:rFonts w:hint="eastAsia" w:ascii="仿宋_GB2312" w:hAnsi="仿宋_GB2312" w:eastAsia="仿宋_GB2312" w:cs="仿宋_GB2312"/>
          <w:bCs/>
          <w:kern w:val="44"/>
          <w:sz w:val="32"/>
          <w:szCs w:val="32"/>
        </w:rPr>
        <w:t>.1.1临震预报事件定义</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临震预报事件是指区政府发布未来10日内可能发生破坏性地震的预报，需要及时进行处置的地震事件。</w:t>
      </w:r>
    </w:p>
    <w:p>
      <w:pPr>
        <w:spacing w:line="312" w:lineRule="auto"/>
        <w:ind w:firstLine="640" w:firstLineChars="200"/>
        <w:outlineLvl w:val="2"/>
        <w:rPr>
          <w:rFonts w:hint="eastAsia"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lang w:val="en-US" w:eastAsia="zh-CN"/>
        </w:rPr>
        <w:t>9</w:t>
      </w:r>
      <w:r>
        <w:rPr>
          <w:rFonts w:hint="eastAsia" w:ascii="仿宋_GB2312" w:hAnsi="仿宋_GB2312" w:eastAsia="仿宋_GB2312" w:cs="仿宋_GB2312"/>
          <w:bCs/>
          <w:kern w:val="44"/>
          <w:sz w:val="32"/>
          <w:szCs w:val="32"/>
        </w:rPr>
        <w:t>.1.2临震预报应急处置</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区政府根据相关法规发布临震预报后，本区抗震救灾指挥部各成员单位、镇（街道）、区域服务中心迅速进入临震预报应急状态，做好各项准备工作。</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（1）区抗震救灾指挥部组织召开指挥部会议，通报临震预报意见，部署各项应急准备工作，及时向市抗震救灾指挥部报告。</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）区委宣传部等有关部门加强新闻宣传和舆情分析引导，维护社会稳定。</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）区应急管理局、自然资源局、住建局、</w:t>
      </w:r>
      <w:r>
        <w:rPr>
          <w:rFonts w:hint="eastAsia" w:ascii="仿宋_GB2312" w:hAnsi="仿宋_GB2312" w:eastAsia="仿宋_GB2312" w:cs="仿宋_GB2312"/>
          <w:bCs/>
          <w:sz w:val="32"/>
          <w:szCs w:val="32"/>
        </w:rPr>
        <w:t>农水局、</w:t>
      </w:r>
      <w:r>
        <w:rPr>
          <w:rFonts w:hint="eastAsia" w:ascii="仿宋_GB2312" w:hAnsi="仿宋_GB2312" w:eastAsia="仿宋_GB2312" w:cs="仿宋_GB2312"/>
          <w:color w:val="000000"/>
          <w:sz w:val="32"/>
          <w:szCs w:val="32"/>
        </w:rPr>
        <w:t>交管大队、公安分局等有关部门对事件影响后果进行评估，制定相应对策。</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"http://www.longhai.gov.cn/cms/html/lhsrmzf/2021-06-30/1979058584.html" \t "http://www.longhai.gov.cn/cms/html/lhsrmzf/zfjg/_blank"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color w:val="000000"/>
          <w:sz w:val="32"/>
          <w:szCs w:val="32"/>
        </w:rPr>
        <w:t>区工信局</w:t>
      </w:r>
      <w:r>
        <w:rPr>
          <w:rFonts w:hint="eastAsia" w:ascii="仿宋_GB2312" w:hAnsi="仿宋_GB2312" w:eastAsia="仿宋_GB2312" w:cs="仿宋_GB2312"/>
          <w:color w:val="000000"/>
          <w:sz w:val="32"/>
          <w:szCs w:val="32"/>
        </w:rPr>
        <w:fldChar w:fldCharType="end"/>
      </w:r>
      <w:r>
        <w:rPr>
          <w:rFonts w:hint="eastAsia" w:ascii="仿宋_GB2312" w:hAnsi="仿宋_GB2312" w:eastAsia="仿宋_GB2312" w:cs="仿宋_GB2312"/>
          <w:color w:val="000000"/>
          <w:sz w:val="32"/>
          <w:szCs w:val="32"/>
        </w:rPr>
        <w:t>及时启动应急通信保障方案，做好应急通信保障准备，同时，组织做好通信设施设备的安全防护。</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）区应急管理局、卫生健康委、交管大队等部门的抢险救援队伍做好抢险救援准备。</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6</w:t>
      </w:r>
      <w:r>
        <w:rPr>
          <w:rFonts w:hint="eastAsia" w:ascii="仿宋_GB2312" w:hAnsi="仿宋_GB2312" w:eastAsia="仿宋_GB2312" w:cs="仿宋_GB2312"/>
          <w:color w:val="000000"/>
          <w:sz w:val="32"/>
          <w:szCs w:val="32"/>
        </w:rPr>
        <w:t>）区应急管理局、发展和改革局、财政局等部门提前做好抗震救灾物资、资金等保障工作。</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7</w:t>
      </w:r>
      <w:r>
        <w:rPr>
          <w:rFonts w:hint="eastAsia" w:ascii="仿宋_GB2312" w:hAnsi="仿宋_GB2312" w:eastAsia="仿宋_GB2312" w:cs="仿宋_GB2312"/>
          <w:color w:val="000000"/>
          <w:sz w:val="32"/>
          <w:szCs w:val="32"/>
        </w:rPr>
        <w:t>）区公安分局、民政局、交管大队等有关部门，做好交通保障，视情组织群众撤离疏散。</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8</w:t>
      </w:r>
      <w:r>
        <w:rPr>
          <w:rFonts w:hint="eastAsia" w:ascii="仿宋_GB2312" w:hAnsi="仿宋_GB2312" w:eastAsia="仿宋_GB2312" w:cs="仿宋_GB2312"/>
          <w:color w:val="000000"/>
          <w:sz w:val="32"/>
          <w:szCs w:val="32"/>
        </w:rPr>
        <w:t>）武装部协调驻军分区、警备区做好抢险救援准备。</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9</w:t>
      </w:r>
      <w:r>
        <w:rPr>
          <w:rFonts w:hint="eastAsia" w:ascii="仿宋_GB2312" w:hAnsi="仿宋_GB2312" w:eastAsia="仿宋_GB2312" w:cs="仿宋_GB2312"/>
          <w:color w:val="000000"/>
          <w:sz w:val="32"/>
          <w:szCs w:val="32"/>
        </w:rPr>
        <w:t>）各镇（街道）、区域服务中心加强地震应急避难知识宣传，做好启用应急避难场所、进行公众疏散安置、开展抢险救灾的各项准备工作。</w:t>
      </w:r>
    </w:p>
    <w:p>
      <w:pPr>
        <w:spacing w:line="312" w:lineRule="auto"/>
        <w:ind w:firstLine="640" w:firstLineChars="200"/>
        <w:outlineLvl w:val="2"/>
        <w:rPr>
          <w:rFonts w:hint="eastAsia"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lang w:val="en-US" w:eastAsia="zh-CN"/>
        </w:rPr>
        <w:t>9</w:t>
      </w:r>
      <w:r>
        <w:rPr>
          <w:rFonts w:hint="eastAsia" w:ascii="仿宋_GB2312" w:hAnsi="仿宋_GB2312" w:eastAsia="仿宋_GB2312" w:cs="仿宋_GB2312"/>
          <w:bCs/>
          <w:kern w:val="44"/>
          <w:sz w:val="32"/>
          <w:szCs w:val="32"/>
        </w:rPr>
        <w:t>.1.3临震预报应急结束</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（1）发生地震后，启动相应级别的应急响应，开展地震应急处置工作，临震预报应急结束。</w:t>
      </w:r>
    </w:p>
    <w:p>
      <w:pPr>
        <w:ind w:firstLine="640"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（2）</w:t>
      </w:r>
      <w:r>
        <w:rPr>
          <w:rFonts w:hint="eastAsia" w:ascii="仿宋_GB2312" w:hAnsi="仿宋_GB2312" w:eastAsia="仿宋_GB2312" w:cs="仿宋_GB2312"/>
          <w:color w:val="auto"/>
          <w:sz w:val="32"/>
          <w:szCs w:val="32"/>
          <w:lang w:val="en-US" w:eastAsia="zh-CN"/>
        </w:rPr>
        <w:t>自治区</w:t>
      </w:r>
      <w:r>
        <w:rPr>
          <w:rFonts w:hint="eastAsia" w:ascii="仿宋_GB2312" w:hAnsi="仿宋_GB2312" w:eastAsia="仿宋_GB2312" w:cs="仿宋_GB2312"/>
          <w:color w:val="auto"/>
          <w:sz w:val="32"/>
          <w:szCs w:val="32"/>
        </w:rPr>
        <w:t>地震局提出未来一段时期内无破坏性地震发生的趋势意见后，区政府根据趋势意见和临震预报应急工作实际，发布终止临震预报应急的公告，临震预报应急结束。</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79" w:name="_Toc23402"/>
      <w:r>
        <w:rPr>
          <w:rFonts w:hint="eastAsia" w:ascii="黑体" w:hAnsi="黑体" w:eastAsia="黑体" w:cs="黑体"/>
          <w:bCs/>
          <w:kern w:val="44"/>
          <w:sz w:val="32"/>
          <w:szCs w:val="44"/>
          <w:lang w:val="en-US" w:eastAsia="zh-CN"/>
        </w:rPr>
        <w:t>9.2有感地震事件</w:t>
      </w:r>
      <w:bookmarkEnd w:id="79"/>
    </w:p>
    <w:p>
      <w:pPr>
        <w:spacing w:line="312" w:lineRule="auto"/>
        <w:ind w:firstLine="640" w:firstLineChars="200"/>
        <w:outlineLvl w:val="2"/>
        <w:rPr>
          <w:rFonts w:hint="eastAsia"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lang w:val="en-US" w:eastAsia="zh-CN"/>
        </w:rPr>
        <w:t>9</w:t>
      </w:r>
      <w:r>
        <w:rPr>
          <w:rFonts w:hint="eastAsia" w:ascii="仿宋_GB2312" w:hAnsi="仿宋_GB2312" w:eastAsia="仿宋_GB2312" w:cs="仿宋_GB2312"/>
          <w:bCs/>
          <w:kern w:val="44"/>
          <w:sz w:val="32"/>
          <w:szCs w:val="32"/>
        </w:rPr>
        <w:t>.2.1有感地震事件定义</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有感地震事件是指发生在本区，震级在4.0级以下，同时有明显震感，且可能会对社会造成一定影响的地震事件。</w:t>
      </w:r>
    </w:p>
    <w:p>
      <w:pPr>
        <w:spacing w:line="312" w:lineRule="auto"/>
        <w:ind w:firstLine="640" w:firstLineChars="200"/>
        <w:outlineLvl w:val="2"/>
        <w:rPr>
          <w:rFonts w:hint="eastAsia"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lang w:val="en-US" w:eastAsia="zh-CN"/>
        </w:rPr>
        <w:t>9</w:t>
      </w:r>
      <w:r>
        <w:rPr>
          <w:rFonts w:hint="eastAsia" w:ascii="仿宋_GB2312" w:hAnsi="仿宋_GB2312" w:eastAsia="仿宋_GB2312" w:cs="仿宋_GB2312"/>
          <w:bCs/>
          <w:kern w:val="44"/>
          <w:sz w:val="32"/>
          <w:szCs w:val="32"/>
        </w:rPr>
        <w:t>.2.2有感地震应急处置</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1</w:t>
      </w:r>
      <w:r>
        <w:rPr>
          <w:rFonts w:hint="eastAsia" w:ascii="仿宋_GB2312" w:hAnsi="仿宋_GB2312" w:eastAsia="仿宋_GB2312" w:cs="仿宋_GB2312"/>
          <w:color w:val="000000"/>
          <w:sz w:val="32"/>
          <w:szCs w:val="32"/>
        </w:rPr>
        <w:t>）区抗震救灾指挥部办公室迅速了解情况，及时报应急管理</w:t>
      </w:r>
      <w:r>
        <w:rPr>
          <w:rFonts w:hint="eastAsia" w:ascii="仿宋_GB2312" w:hAnsi="仿宋_GB2312" w:eastAsia="仿宋_GB2312" w:cs="仿宋_GB2312"/>
          <w:color w:val="000000"/>
          <w:sz w:val="32"/>
          <w:szCs w:val="32"/>
          <w:lang w:val="en-US" w:eastAsia="zh-CN"/>
        </w:rPr>
        <w:t>局</w:t>
      </w:r>
      <w:r>
        <w:rPr>
          <w:rFonts w:hint="eastAsia" w:ascii="仿宋_GB2312" w:hAnsi="仿宋_GB2312" w:eastAsia="仿宋_GB2312" w:cs="仿宋_GB2312"/>
          <w:color w:val="000000"/>
          <w:sz w:val="32"/>
          <w:szCs w:val="32"/>
        </w:rPr>
        <w:t>。</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2</w:t>
      </w:r>
      <w:r>
        <w:rPr>
          <w:rFonts w:hint="eastAsia" w:ascii="仿宋_GB2312" w:hAnsi="仿宋_GB2312" w:eastAsia="仿宋_GB2312" w:cs="仿宋_GB2312"/>
          <w:color w:val="000000"/>
          <w:sz w:val="32"/>
          <w:szCs w:val="32"/>
        </w:rPr>
        <w:t>）区抗震救灾指挥部迅速了解是否造成灾情，并酌情派出工作组赴震中区指导和协调地震应急处置工作。</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3</w:t>
      </w:r>
      <w:r>
        <w:rPr>
          <w:rFonts w:hint="eastAsia" w:ascii="仿宋_GB2312" w:hAnsi="仿宋_GB2312" w:eastAsia="仿宋_GB2312" w:cs="仿宋_GB2312"/>
          <w:color w:val="000000"/>
          <w:sz w:val="32"/>
          <w:szCs w:val="32"/>
        </w:rPr>
        <w:t>）区自然资源局、区住建局、交管大队、区运管分管局等单位负责指导有感地震所在区开展地质灾害、交通、供水、供电、供气等相关隐患排查工作。</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）区委宣传部等有关部门加强新闻宣传和舆情分析，维护社会稳定。</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5</w:t>
      </w:r>
      <w:r>
        <w:rPr>
          <w:rFonts w:hint="eastAsia" w:ascii="仿宋_GB2312" w:hAnsi="仿宋_GB2312" w:eastAsia="仿宋_GB2312" w:cs="仿宋_GB2312"/>
          <w:color w:val="000000"/>
          <w:sz w:val="32"/>
          <w:szCs w:val="32"/>
        </w:rPr>
        <w:t>）有感地震所在镇（街道）、区域服务中心、村（社区）组织对辖区内进行巡查检查和隐患排查，督促相关部门落实应急防范措施。</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80" w:name="_Toc11150"/>
      <w:r>
        <w:rPr>
          <w:rFonts w:hint="eastAsia" w:ascii="黑体" w:hAnsi="黑体" w:eastAsia="黑体" w:cs="黑体"/>
          <w:bCs/>
          <w:kern w:val="44"/>
          <w:sz w:val="32"/>
          <w:szCs w:val="44"/>
          <w:lang w:val="en-US" w:eastAsia="zh-CN"/>
        </w:rPr>
        <w:t>9.3地震谣传事件</w:t>
      </w:r>
      <w:bookmarkEnd w:id="80"/>
    </w:p>
    <w:p>
      <w:pPr>
        <w:spacing w:line="312" w:lineRule="auto"/>
        <w:ind w:firstLine="640" w:firstLineChars="200"/>
        <w:outlineLvl w:val="2"/>
        <w:rPr>
          <w:rFonts w:hint="eastAsia"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lang w:val="en-US" w:eastAsia="zh-CN"/>
        </w:rPr>
        <w:t>9</w:t>
      </w:r>
      <w:r>
        <w:rPr>
          <w:rFonts w:hint="eastAsia" w:ascii="仿宋_GB2312" w:hAnsi="仿宋_GB2312" w:eastAsia="仿宋_GB2312" w:cs="仿宋_GB2312"/>
          <w:bCs/>
          <w:kern w:val="44"/>
          <w:sz w:val="32"/>
          <w:szCs w:val="32"/>
        </w:rPr>
        <w:t>.3.1地震谣传事件定义</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地震谣传事件是指某地区出现流传较为广泛的地震谣言，对正常社会秩序造成较严重影响的地震事件。</w:t>
      </w:r>
    </w:p>
    <w:p>
      <w:pPr>
        <w:spacing w:line="312" w:lineRule="auto"/>
        <w:ind w:firstLine="640" w:firstLineChars="200"/>
        <w:outlineLvl w:val="2"/>
        <w:rPr>
          <w:rFonts w:hint="eastAsia" w:ascii="仿宋_GB2312" w:hAnsi="仿宋_GB2312" w:eastAsia="仿宋_GB2312" w:cs="仿宋_GB2312"/>
          <w:bCs/>
          <w:kern w:val="44"/>
          <w:sz w:val="32"/>
          <w:szCs w:val="32"/>
        </w:rPr>
      </w:pPr>
      <w:r>
        <w:rPr>
          <w:rFonts w:hint="eastAsia" w:ascii="仿宋_GB2312" w:hAnsi="仿宋_GB2312" w:eastAsia="仿宋_GB2312" w:cs="仿宋_GB2312"/>
          <w:bCs/>
          <w:kern w:val="44"/>
          <w:sz w:val="32"/>
          <w:szCs w:val="32"/>
          <w:lang w:val="en-US" w:eastAsia="zh-CN"/>
        </w:rPr>
        <w:t>9</w:t>
      </w:r>
      <w:r>
        <w:rPr>
          <w:rFonts w:hint="eastAsia" w:ascii="仿宋_GB2312" w:hAnsi="仿宋_GB2312" w:eastAsia="仿宋_GB2312" w:cs="仿宋_GB2312"/>
          <w:bCs/>
          <w:kern w:val="44"/>
          <w:sz w:val="32"/>
          <w:szCs w:val="32"/>
        </w:rPr>
        <w:t>.3.2地震谣传应急处置</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w:t>
      </w:r>
      <w:r>
        <w:rPr>
          <w:rFonts w:hint="eastAsia" w:ascii="仿宋_GB2312" w:hAnsi="仿宋_GB2312" w:eastAsia="仿宋_GB2312" w:cs="仿宋_GB2312"/>
          <w:bCs/>
          <w:kern w:val="44"/>
          <w:sz w:val="32"/>
          <w:szCs w:val="32"/>
        </w:rPr>
        <w:t>区委宣传部、网信办、应急管理局</w:t>
      </w:r>
      <w:r>
        <w:rPr>
          <w:rFonts w:hint="eastAsia" w:ascii="仿宋_GB2312" w:hAnsi="仿宋_GB2312" w:eastAsia="仿宋_GB2312" w:cs="仿宋_GB2312"/>
          <w:color w:val="000000"/>
          <w:sz w:val="32"/>
          <w:szCs w:val="32"/>
        </w:rPr>
        <w:t>开展辟谣宣传工作，平息舆情影响，必要时，召开新闻发布会</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 xml:space="preserve"> </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（2）对于严重扰乱社会秩序，产生严重后果的地震谣传事件，由</w:t>
      </w:r>
      <w:r>
        <w:rPr>
          <w:rFonts w:hint="eastAsia" w:ascii="仿宋_GB2312" w:hAnsi="仿宋_GB2312" w:eastAsia="仿宋_GB2312" w:cs="仿宋_GB2312"/>
          <w:bCs/>
          <w:kern w:val="44"/>
          <w:sz w:val="32"/>
          <w:szCs w:val="32"/>
        </w:rPr>
        <w:t>公安局、网信办</w:t>
      </w:r>
      <w:r>
        <w:rPr>
          <w:rFonts w:hint="eastAsia" w:ascii="仿宋_GB2312" w:hAnsi="仿宋_GB2312" w:eastAsia="仿宋_GB2312" w:cs="仿宋_GB2312"/>
          <w:color w:val="000000"/>
          <w:sz w:val="32"/>
          <w:szCs w:val="32"/>
        </w:rPr>
        <w:t>进行调查，并追究相关法律责任。</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81" w:name="_Toc14095"/>
      <w:r>
        <w:rPr>
          <w:rFonts w:hint="eastAsia" w:ascii="黑体" w:hAnsi="黑体" w:eastAsia="黑体" w:cs="黑体"/>
          <w:bCs/>
          <w:kern w:val="44"/>
          <w:sz w:val="32"/>
          <w:szCs w:val="44"/>
          <w:lang w:val="en-US" w:eastAsia="zh-CN"/>
        </w:rPr>
        <w:t>9.4特殊时期应急戒备</w:t>
      </w:r>
      <w:bookmarkEnd w:id="81"/>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在重大政治、社会活动及节假日期间，按照区委、区政府的要求，实施特殊时期应急戒备。区抗震救灾指挥部办公室负责部署相关地震安全保障工作。</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0"/>
        <w:rPr>
          <w:rFonts w:hint="eastAsia" w:ascii="黑体" w:hAnsi="黑体" w:eastAsia="黑体" w:cs="黑体"/>
          <w:bCs/>
          <w:kern w:val="44"/>
          <w:sz w:val="32"/>
          <w:szCs w:val="44"/>
          <w:lang w:val="en-US" w:eastAsia="zh-CN"/>
        </w:rPr>
      </w:pPr>
      <w:bookmarkStart w:id="82" w:name="_Toc31411"/>
      <w:r>
        <w:rPr>
          <w:rFonts w:hint="eastAsia" w:ascii="黑体" w:hAnsi="黑体" w:eastAsia="黑体" w:cs="黑体"/>
          <w:bCs/>
          <w:kern w:val="44"/>
          <w:sz w:val="32"/>
          <w:szCs w:val="44"/>
          <w:lang w:val="en-US" w:eastAsia="zh-CN"/>
        </w:rPr>
        <w:t>10附则</w:t>
      </w:r>
      <w:bookmarkEnd w:id="77"/>
      <w:bookmarkEnd w:id="82"/>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83" w:name="_Toc12162"/>
      <w:r>
        <w:rPr>
          <w:rFonts w:hint="eastAsia" w:ascii="黑体" w:hAnsi="黑体" w:eastAsia="黑体" w:cs="黑体"/>
          <w:bCs/>
          <w:kern w:val="44"/>
          <w:sz w:val="32"/>
          <w:szCs w:val="44"/>
          <w:lang w:val="en-US" w:eastAsia="zh-CN"/>
        </w:rPr>
        <w:t>10.1奖励与责任</w:t>
      </w:r>
      <w:bookmarkEnd w:id="83"/>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对在抗震救灾工作中作出突出贡献的先进集体和个人，按照有关规定给予表彰和奖励。</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对在抗震救灾工作中玩忽职守造成损失的，严重虚报、瞒报灾情的，依据国家有关法律法规追究当事人的责任，构成犯罪的，依法追究其刑事责任。</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84" w:name="_Toc15186"/>
      <w:r>
        <w:rPr>
          <w:rFonts w:hint="eastAsia" w:ascii="黑体" w:hAnsi="黑体" w:eastAsia="黑体" w:cs="黑体"/>
          <w:bCs/>
          <w:kern w:val="44"/>
          <w:sz w:val="32"/>
          <w:szCs w:val="44"/>
          <w:lang w:val="en-US" w:eastAsia="zh-CN"/>
        </w:rPr>
        <w:t>10.2预案制定与修订</w:t>
      </w:r>
      <w:bookmarkEnd w:id="84"/>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本预案由区应急管理局负责制定，区抗震救灾指挥部办公室负责解释。</w:t>
      </w:r>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为适应地震灾害事件应急对策的不断完善和地震应急机构的调整，需及时对预案进行修订。</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1"/>
        <w:rPr>
          <w:rFonts w:hint="eastAsia" w:ascii="黑体" w:hAnsi="黑体" w:eastAsia="黑体" w:cs="黑体"/>
          <w:bCs/>
          <w:kern w:val="44"/>
          <w:sz w:val="32"/>
          <w:szCs w:val="44"/>
          <w:lang w:val="en-US" w:eastAsia="zh-CN"/>
        </w:rPr>
      </w:pPr>
      <w:bookmarkStart w:id="85" w:name="_Toc23771"/>
      <w:r>
        <w:rPr>
          <w:rFonts w:hint="eastAsia" w:ascii="黑体" w:hAnsi="黑体" w:eastAsia="黑体" w:cs="黑体"/>
          <w:bCs/>
          <w:kern w:val="44"/>
          <w:sz w:val="32"/>
          <w:szCs w:val="44"/>
          <w:lang w:val="en-US" w:eastAsia="zh-CN"/>
        </w:rPr>
        <w:t>10.3预案实施</w:t>
      </w:r>
      <w:bookmarkEnd w:id="85"/>
    </w:p>
    <w:p>
      <w:pPr>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本预案自印发之日起实施。</w:t>
      </w: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0"/>
        <w:rPr>
          <w:rFonts w:hint="eastAsia" w:ascii="黑体" w:hAnsi="黑体" w:eastAsia="黑体" w:cs="黑体"/>
          <w:bCs/>
          <w:kern w:val="44"/>
          <w:sz w:val="32"/>
          <w:szCs w:val="44"/>
          <w:lang w:val="en-US" w:eastAsia="zh-CN"/>
        </w:rPr>
        <w:sectPr>
          <w:footerReference r:id="rId3" w:type="default"/>
          <w:pgSz w:w="11906" w:h="16838"/>
          <w:pgMar w:top="1440" w:right="1800" w:bottom="1440" w:left="1800" w:header="851" w:footer="992" w:gutter="0"/>
          <w:pgNumType w:fmt="decimal"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0"/>
        <w:rPr>
          <w:rFonts w:hint="eastAsia" w:ascii="黑体" w:hAnsi="黑体" w:eastAsia="黑体" w:cs="黑体"/>
          <w:bCs/>
          <w:kern w:val="44"/>
          <w:sz w:val="32"/>
          <w:szCs w:val="44"/>
          <w:lang w:val="en-US" w:eastAsia="zh-CN"/>
        </w:rPr>
      </w:pPr>
      <w:bookmarkStart w:id="86" w:name="_Toc7748"/>
      <w:r>
        <w:rPr>
          <w:rFonts w:hint="eastAsia" w:ascii="黑体" w:hAnsi="黑体" w:eastAsia="黑体" w:cs="黑体"/>
          <w:bCs/>
          <w:kern w:val="44"/>
          <w:sz w:val="32"/>
          <w:szCs w:val="44"/>
          <w:lang w:val="en-US" w:eastAsia="zh-CN"/>
        </w:rPr>
        <w:t>11附件</w:t>
      </w:r>
      <w:bookmarkEnd w:id="86"/>
      <w:bookmarkStart w:id="87" w:name="_Toc6305"/>
    </w:p>
    <w:p>
      <w:pPr>
        <w:keepNext w:val="0"/>
        <w:keepLines w:val="0"/>
        <w:pageBreakBefore w:val="0"/>
        <w:widowControl w:val="0"/>
        <w:kinsoku/>
        <w:wordWrap/>
        <w:overflowPunct/>
        <w:topLinePunct w:val="0"/>
        <w:autoSpaceDE/>
        <w:autoSpaceDN/>
        <w:bidi w:val="0"/>
        <w:adjustRightInd/>
        <w:snapToGrid/>
        <w:spacing w:before="157" w:beforeLines="50" w:after="157" w:afterLines="50"/>
        <w:ind w:firstLine="646"/>
        <w:textAlignment w:val="auto"/>
        <w:outlineLvl w:val="0"/>
        <w:rPr>
          <w:rFonts w:hint="eastAsia" w:ascii="黑体" w:hAnsi="黑体" w:eastAsia="黑体" w:cs="黑体"/>
          <w:bCs/>
          <w:kern w:val="44"/>
          <w:sz w:val="32"/>
          <w:szCs w:val="44"/>
        </w:rPr>
      </w:pPr>
      <w:bookmarkStart w:id="88" w:name="_Toc18726"/>
      <w:r>
        <w:rPr>
          <w:rFonts w:hint="eastAsia" w:ascii="黑体" w:hAnsi="黑体" w:eastAsia="黑体" w:cs="黑体"/>
          <w:bCs/>
          <w:kern w:val="44"/>
          <w:sz w:val="32"/>
          <w:szCs w:val="44"/>
        </w:rPr>
        <w:t>附件1</w:t>
      </w:r>
      <w:r>
        <w:rPr>
          <w:rFonts w:hint="eastAsia" w:ascii="黑体" w:hAnsi="黑体" w:eastAsia="黑体" w:cs="黑体"/>
          <w:bCs/>
          <w:kern w:val="44"/>
          <w:sz w:val="32"/>
          <w:szCs w:val="44"/>
          <w:lang w:val="en-US" w:eastAsia="zh-CN"/>
        </w:rPr>
        <w:t>新城区</w:t>
      </w:r>
      <w:r>
        <w:rPr>
          <w:rFonts w:hint="eastAsia" w:ascii="黑体" w:hAnsi="黑体" w:eastAsia="黑体" w:cs="黑体"/>
          <w:bCs/>
          <w:kern w:val="44"/>
          <w:sz w:val="32"/>
          <w:szCs w:val="44"/>
        </w:rPr>
        <w:t>抗震救灾指挥部指挥体系示意图</w:t>
      </w:r>
      <w:bookmarkEnd w:id="88"/>
    </w:p>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eastAsia" w:ascii="黑体" w:hAnsi="黑体" w:eastAsia="黑体" w:cs="黑体"/>
          <w:bCs/>
          <w:kern w:val="44"/>
          <w:sz w:val="32"/>
          <w:szCs w:val="44"/>
          <w:lang w:eastAsia="zh-CN"/>
        </w:rPr>
      </w:pPr>
      <w:r>
        <w:rPr>
          <w:rFonts w:hint="eastAsia" w:ascii="黑体" w:hAnsi="黑体" w:eastAsia="黑体" w:cs="黑体"/>
          <w:bCs/>
          <w:kern w:val="44"/>
          <w:sz w:val="32"/>
          <w:szCs w:val="44"/>
          <w:lang w:eastAsia="zh-CN"/>
        </w:rPr>
        <w:drawing>
          <wp:inline distT="0" distB="0" distL="114300" distR="114300">
            <wp:extent cx="9323705" cy="3296285"/>
            <wp:effectExtent l="0" t="0" r="0" b="0"/>
            <wp:docPr id="3" name="图片 3" descr="微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1"/>
                    <pic:cNvPicPr>
                      <a:picLocks noChangeAspect="1"/>
                    </pic:cNvPicPr>
                  </pic:nvPicPr>
                  <pic:blipFill>
                    <a:blip r:embed="rId5"/>
                    <a:stretch>
                      <a:fillRect/>
                    </a:stretch>
                  </pic:blipFill>
                  <pic:spPr>
                    <a:xfrm>
                      <a:off x="0" y="0"/>
                      <a:ext cx="9323705" cy="32962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9"/>
        <w:rPr>
          <w:rFonts w:hint="eastAsia" w:ascii="黑体" w:hAnsi="黑体" w:eastAsia="黑体" w:cs="黑体"/>
          <w:bCs/>
          <w:kern w:val="44"/>
          <w:sz w:val="32"/>
          <w:szCs w:val="44"/>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640" w:firstLineChars="200"/>
        <w:textAlignment w:val="auto"/>
        <w:outlineLvl w:val="9"/>
        <w:rPr>
          <w:rFonts w:hint="eastAsia" w:ascii="黑体" w:hAnsi="黑体" w:eastAsia="黑体" w:cs="黑体"/>
          <w:bCs/>
          <w:kern w:val="44"/>
          <w:sz w:val="32"/>
          <w:szCs w:val="44"/>
          <w:lang w:eastAsia="zh-CN"/>
        </w:rPr>
        <w:sectPr>
          <w:pgSz w:w="16838" w:h="11906" w:orient="landscape"/>
          <w:pgMar w:top="1800" w:right="1440" w:bottom="1800" w:left="1440" w:header="851" w:footer="992" w:gutter="0"/>
          <w:pgNumType w:fmt="decimal"/>
          <w:cols w:space="425" w:num="1"/>
          <w:docGrid w:type="lines" w:linePitch="312" w:charSpace="0"/>
        </w:sectPr>
      </w:pPr>
    </w:p>
    <w:p>
      <w:pPr>
        <w:keepNext w:val="0"/>
        <w:keepLines w:val="0"/>
        <w:widowControl/>
        <w:suppressLineNumbers w:val="0"/>
        <w:jc w:val="left"/>
        <w:rPr>
          <w:rFonts w:hint="eastAsia" w:ascii="仿宋" w:hAnsi="仿宋" w:eastAsia="仿宋" w:cs="仿宋"/>
          <w:sz w:val="32"/>
          <w:szCs w:val="22"/>
          <w:lang w:bidi="ar"/>
        </w:rPr>
      </w:pPr>
      <w:bookmarkStart w:id="89" w:name="_Toc6045"/>
      <w:r>
        <w:rPr>
          <w:rFonts w:hint="eastAsia" w:ascii="黑体" w:hAnsi="黑体" w:eastAsia="黑体" w:cs="黑体"/>
          <w:bCs/>
          <w:kern w:val="44"/>
          <w:sz w:val="32"/>
          <w:szCs w:val="44"/>
          <w:lang w:val="en-US" w:eastAsia="zh-CN"/>
        </w:rPr>
        <w:t>附件2</w:t>
      </w:r>
      <w:r>
        <w:rPr>
          <w:rFonts w:hint="eastAsia" w:ascii="黑体" w:hAnsi="黑体" w:eastAsia="黑体" w:cs="黑体"/>
          <w:bCs/>
          <w:kern w:val="44"/>
          <w:sz w:val="32"/>
          <w:szCs w:val="44"/>
        </w:rPr>
        <w:t>新城区抗震救灾指挥部组成人员通讯录</w:t>
      </w:r>
      <w:bookmarkEnd w:id="87"/>
      <w:bookmarkEnd w:id="89"/>
      <w:r>
        <w:rPr>
          <w:rFonts w:hint="eastAsia" w:ascii="黑体" w:hAnsi="黑体" w:eastAsia="黑体" w:cs="黑体"/>
          <w:bCs/>
          <w:kern w:val="44"/>
          <w:sz w:val="32"/>
          <w:szCs w:val="44"/>
          <w:lang w:eastAsia="zh-CN"/>
        </w:rPr>
        <w:t>（</w:t>
      </w:r>
      <w:r>
        <w:rPr>
          <w:rFonts w:hint="eastAsia" w:ascii="黑体" w:hAnsi="黑体" w:eastAsia="黑体" w:cs="黑体"/>
          <w:bCs/>
          <w:kern w:val="44"/>
          <w:sz w:val="32"/>
          <w:szCs w:val="44"/>
          <w:lang w:val="en-US" w:eastAsia="zh-CN"/>
        </w:rPr>
        <w:t>略</w:t>
      </w:r>
      <w:r>
        <w:rPr>
          <w:rFonts w:hint="eastAsia" w:ascii="黑体" w:hAnsi="黑体" w:eastAsia="黑体" w:cs="黑体"/>
          <w:bCs/>
          <w:kern w:val="44"/>
          <w:sz w:val="32"/>
          <w:szCs w:val="44"/>
          <w:lang w:eastAsia="zh-CN"/>
        </w:rPr>
        <w:t>）</w:t>
      </w:r>
    </w:p>
    <w:p>
      <w:pPr>
        <w:adjustRightInd w:val="0"/>
        <w:snapToGrid w:val="0"/>
        <w:spacing w:line="360" w:lineRule="auto"/>
        <w:ind w:firstLine="640" w:firstLineChars="200"/>
        <w:outlineLvl w:val="1"/>
        <w:rPr>
          <w:rFonts w:ascii="黑体" w:hAnsi="黑体" w:eastAsia="黑体" w:cs="黑体"/>
          <w:bCs/>
          <w:kern w:val="44"/>
          <w:sz w:val="32"/>
          <w:szCs w:val="44"/>
        </w:rPr>
      </w:pPr>
      <w:bookmarkStart w:id="90" w:name="_Toc10647"/>
      <w:r>
        <w:rPr>
          <w:rFonts w:hint="eastAsia" w:ascii="黑体" w:hAnsi="黑体" w:eastAsia="黑体" w:cs="黑体"/>
          <w:bCs/>
          <w:kern w:val="44"/>
          <w:sz w:val="32"/>
          <w:szCs w:val="44"/>
          <w:lang w:val="en-US" w:eastAsia="zh-CN"/>
        </w:rPr>
        <w:t>附件3</w:t>
      </w:r>
      <w:r>
        <w:rPr>
          <w:rFonts w:hint="eastAsia" w:ascii="黑体" w:hAnsi="黑体" w:eastAsia="黑体" w:cs="黑体"/>
          <w:bCs/>
          <w:kern w:val="44"/>
          <w:sz w:val="32"/>
          <w:szCs w:val="44"/>
        </w:rPr>
        <w:t>新城区</w:t>
      </w:r>
      <w:r>
        <w:rPr>
          <w:rFonts w:hint="eastAsia" w:ascii="黑体" w:hAnsi="黑体" w:eastAsia="黑体" w:cs="黑体"/>
          <w:bCs/>
          <w:kern w:val="44"/>
          <w:sz w:val="32"/>
          <w:szCs w:val="44"/>
          <w:lang w:val="en-US" w:eastAsia="zh-CN"/>
        </w:rPr>
        <w:t>地震基本情况介绍</w:t>
      </w:r>
      <w:bookmarkEnd w:id="90"/>
    </w:p>
    <w:p>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 xml:space="preserve">（1）形成 </w:t>
      </w:r>
    </w:p>
    <w:p>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 xml:space="preserve">新城区抗震设防烈度为8度,设计基本地震加速度值为0.20g，辖地主要由平原、丘陵、沟壑、山地四部分构成。其城区及城区东部、北部平原为湖相沉积、湖滨沉积形成的大青山冲积扇倾斜平原，其丘陵、沟壑、山地为大青山石质山区及黄山沟壑构成。按地槽地台学分析，地质演变属“中朝准地台”演变中“内蒙古地轴”变动过程中的”阴山台拱”和“河套新断陷”地质地层变化期形成的地质构造。其演变约从距今45亿年前始，终止于6亿年前，经历了数次变故和漫长的地质演变，使基底构造极为复杂有早期中元古界湖泊底部和边缘形成的海相碎屑及碳酸盐岩建造地，中期加里东运动使海水全部退出后，使地层发生褶皱和断裂。燕山运动晚期，阴山南部由于拉伸而断裂，形成了阴山南麓的盆地，这一大断裂东起保合少镇奎素村，西至包头。 </w:t>
      </w:r>
    </w:p>
    <w:p>
      <w:pPr>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（2）地层</w:t>
      </w:r>
    </w:p>
    <w:p>
      <w:pPr>
        <w:ind w:firstLine="640" w:firstLineChars="200"/>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地层是指地壳变动发展过程中形成的各种成层岩石的总称。新城区山区主要以古生代的地层为主，尚有少量中生界地层分布，沟谷、山间凹地及山间平原分布着新生界第四系上更新统土层，平原为新生界第四系全新统土层。红山口、三卜树、甘沟、猴儿山、黄花南分布着太古界乌拉山群地层，该群地层为一套区域混合岩及中深度变质的黑云斜长片麻岩、黑云石英片岩、变粒岩、大理岩及石英岩组成，为海相碎屑岩及碳酸盐岩建造，从上到下碳酸盐岩逐渐增多，碎屑岩则渐渐减少。该山群是中国最古老的地层出露点之一。哈拉沁、红山口、三卜树、哈拉更、乌兰不浪、卯独沁、面铺窑等地分布着元古界二道洼群最广的地层。该群地层区域混合岩化微弱，下部以各种绿片岩为主，上部以大理岩、片岩为主，是新城区辖区大量石矿产的重要层位。哈拉沁以东榆树沟一带的岩性为砂岩、页岩及砾岩为山间盆地陆相沉积地层。这是古生界侏罗系中下统石拐群时形成的地层。古路板、奎素等地出露的岩层，属山间断陷盆地沉积的陆相碎屑岩，是中生界侏罗系上新统大青山组地层。其岩性以巨厚的砾岩与砂岩互层为主，夹有薄层泥灰岩、岩质页岩。砾岩中普遍含金，是寻找金矿的重要层位。面铺窑子及其东南一带分布的岩层，属新生界第四系上更新统，是湖积、冲积而成的黄色粉砂粘土层大青山中的河谷、山前平原的缓坡带上及城区，属新生界第四系全新统，是由松散的砂砾、淤泥、砾石层、沙土等地层组成。</w:t>
      </w:r>
    </w:p>
    <w:p>
      <w:pPr>
        <w:ind w:firstLine="640" w:firstLineChars="200"/>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（3）历史灾害</w:t>
      </w:r>
    </w:p>
    <w:p>
      <w:pPr>
        <w:ind w:firstLine="640" w:firstLineChars="200"/>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2003 年 4 月 6 日，呼和浩特市托克托县发生地震，新城区范围内有震感。</w:t>
      </w:r>
    </w:p>
    <w:p>
      <w:pPr>
        <w:rPr>
          <w:rFonts w:hint="eastAsia" w:ascii="黑体" w:hAnsi="黑体" w:eastAsia="黑体" w:cs="黑体"/>
          <w:b w:val="0"/>
          <w:bCs/>
          <w:color w:val="auto"/>
          <w:kern w:val="2"/>
          <w:sz w:val="32"/>
          <w:szCs w:val="32"/>
          <w:lang w:val="zh-CN" w:eastAsia="zh-CN"/>
        </w:rPr>
      </w:pPr>
      <w:bookmarkStart w:id="91" w:name="_Toc18540"/>
      <w:r>
        <w:rPr>
          <w:rFonts w:hint="eastAsia" w:ascii="黑体" w:hAnsi="黑体" w:eastAsia="黑体" w:cs="黑体"/>
          <w:b w:val="0"/>
          <w:bCs/>
          <w:color w:val="auto"/>
          <w:kern w:val="2"/>
          <w:sz w:val="32"/>
          <w:szCs w:val="32"/>
          <w:lang w:val="zh-CN" w:eastAsia="zh-CN"/>
        </w:rPr>
        <w:br w:type="page"/>
      </w:r>
    </w:p>
    <w:p>
      <w:pPr>
        <w:adjustRightInd w:val="0"/>
        <w:snapToGrid w:val="0"/>
        <w:spacing w:line="360" w:lineRule="auto"/>
        <w:ind w:firstLine="640" w:firstLineChars="200"/>
        <w:outlineLvl w:val="1"/>
        <w:rPr>
          <w:rFonts w:hint="eastAsia" w:ascii="黑体" w:hAnsi="黑体" w:eastAsia="黑体" w:cs="黑体"/>
          <w:bCs/>
          <w:kern w:val="44"/>
          <w:sz w:val="32"/>
          <w:szCs w:val="44"/>
          <w:lang w:val="zh-CN" w:eastAsia="zh-CN"/>
        </w:rPr>
      </w:pPr>
      <w:bookmarkStart w:id="92" w:name="_Toc31610"/>
      <w:r>
        <w:rPr>
          <w:rFonts w:hint="eastAsia" w:ascii="黑体" w:hAnsi="黑体" w:eastAsia="黑体" w:cs="黑体"/>
          <w:bCs/>
          <w:kern w:val="44"/>
          <w:sz w:val="32"/>
          <w:szCs w:val="44"/>
          <w:lang w:val="zh-CN" w:eastAsia="zh-CN"/>
        </w:rPr>
        <w:t>附件</w:t>
      </w:r>
      <w:r>
        <w:rPr>
          <w:rFonts w:hint="eastAsia" w:ascii="黑体" w:hAnsi="黑体" w:eastAsia="黑体" w:cs="黑体"/>
          <w:bCs/>
          <w:kern w:val="44"/>
          <w:sz w:val="32"/>
          <w:szCs w:val="44"/>
          <w:lang w:val="en-US" w:eastAsia="zh-CN"/>
        </w:rPr>
        <w:t>4</w:t>
      </w:r>
      <w:r>
        <w:rPr>
          <w:rFonts w:hint="eastAsia" w:ascii="黑体" w:hAnsi="黑体" w:eastAsia="黑体" w:cs="黑体"/>
          <w:bCs/>
          <w:kern w:val="44"/>
          <w:sz w:val="32"/>
          <w:szCs w:val="44"/>
          <w:lang w:val="zh-CN" w:eastAsia="zh-CN"/>
        </w:rPr>
        <w:t>应急救援物资储备情况表</w:t>
      </w:r>
      <w:bookmarkEnd w:id="91"/>
      <w:bookmarkEnd w:id="92"/>
    </w:p>
    <w:p>
      <w:pPr>
        <w:jc w:val="center"/>
        <w:rPr>
          <w:rFonts w:hint="default" w:ascii="仿宋" w:hAnsi="仿宋" w:eastAsia="仿宋" w:cs="仿宋"/>
          <w:color w:val="auto"/>
          <w:szCs w:val="21"/>
          <w:lang w:val="en-US" w:eastAsia="zh-CN"/>
        </w:rPr>
      </w:pPr>
      <w:r>
        <w:rPr>
          <w:rFonts w:hint="eastAsia" w:ascii="仿宋" w:hAnsi="仿宋" w:eastAsia="仿宋" w:cs="仿宋"/>
          <w:b/>
          <w:color w:val="auto"/>
          <w:kern w:val="0"/>
          <w:szCs w:val="21"/>
          <w:lang w:bidi="ar"/>
        </w:rPr>
        <w:t>2022年新城区应急管理局</w:t>
      </w:r>
      <w:r>
        <w:rPr>
          <w:rFonts w:hint="eastAsia" w:ascii="仿宋" w:hAnsi="仿宋" w:eastAsia="仿宋" w:cs="仿宋"/>
          <w:b/>
          <w:color w:val="auto"/>
          <w:kern w:val="0"/>
          <w:szCs w:val="21"/>
          <w:lang w:eastAsia="zh-CN" w:bidi="ar"/>
        </w:rPr>
        <w:t>物资</w:t>
      </w:r>
      <w:r>
        <w:rPr>
          <w:rFonts w:hint="eastAsia" w:ascii="仿宋" w:hAnsi="仿宋" w:eastAsia="仿宋" w:cs="仿宋"/>
          <w:b/>
          <w:color w:val="auto"/>
          <w:kern w:val="0"/>
          <w:szCs w:val="21"/>
          <w:lang w:val="en-US" w:eastAsia="zh-CN" w:bidi="ar"/>
        </w:rPr>
        <w:t>统计表</w:t>
      </w:r>
    </w:p>
    <w:tbl>
      <w:tblPr>
        <w:tblStyle w:val="16"/>
        <w:tblW w:w="0" w:type="auto"/>
        <w:tblInd w:w="0" w:type="dxa"/>
        <w:tblLayout w:type="autofit"/>
        <w:tblCellMar>
          <w:top w:w="0" w:type="dxa"/>
          <w:left w:w="0" w:type="dxa"/>
          <w:bottom w:w="0" w:type="dxa"/>
          <w:right w:w="0" w:type="dxa"/>
        </w:tblCellMar>
      </w:tblPr>
      <w:tblGrid>
        <w:gridCol w:w="392"/>
        <w:gridCol w:w="2010"/>
        <w:gridCol w:w="1470"/>
        <w:gridCol w:w="1560"/>
        <w:gridCol w:w="575"/>
        <w:gridCol w:w="2191"/>
      </w:tblGrid>
      <w:tr>
        <w:tblPrEx>
          <w:tblCellMar>
            <w:top w:w="0" w:type="dxa"/>
            <w:left w:w="0" w:type="dxa"/>
            <w:bottom w:w="0" w:type="dxa"/>
            <w:right w:w="0" w:type="dxa"/>
          </w:tblCellMar>
        </w:tblPrEx>
        <w:trPr>
          <w:trHeight w:val="340" w:hRule="atLeast"/>
          <w:tblHeader/>
        </w:trPr>
        <w:tc>
          <w:tcPr>
            <w:tcW w:w="0" w:type="auto"/>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sz w:val="18"/>
                <w:szCs w:val="18"/>
              </w:rPr>
            </w:pPr>
            <w:r>
              <w:rPr>
                <w:rFonts w:hint="eastAsia" w:ascii="仿宋" w:hAnsi="仿宋" w:eastAsia="仿宋" w:cs="仿宋"/>
                <w:b/>
                <w:color w:val="auto"/>
                <w:kern w:val="0"/>
                <w:sz w:val="18"/>
                <w:szCs w:val="18"/>
                <w:lang w:bidi="ar"/>
              </w:rPr>
              <w:t>序号</w:t>
            </w:r>
          </w:p>
        </w:tc>
        <w:tc>
          <w:tcPr>
            <w:tcW w:w="0" w:type="auto"/>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sz w:val="18"/>
                <w:szCs w:val="18"/>
              </w:rPr>
            </w:pPr>
            <w:r>
              <w:rPr>
                <w:rFonts w:hint="eastAsia" w:ascii="仿宋" w:hAnsi="仿宋" w:eastAsia="仿宋" w:cs="仿宋"/>
                <w:b/>
                <w:color w:val="auto"/>
                <w:kern w:val="0"/>
                <w:sz w:val="18"/>
                <w:szCs w:val="18"/>
                <w:lang w:bidi="ar"/>
              </w:rPr>
              <w:t>物资名称</w:t>
            </w:r>
          </w:p>
        </w:tc>
        <w:tc>
          <w:tcPr>
            <w:tcW w:w="0" w:type="auto"/>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sz w:val="18"/>
                <w:szCs w:val="18"/>
              </w:rPr>
            </w:pPr>
            <w:r>
              <w:rPr>
                <w:rFonts w:hint="eastAsia" w:ascii="仿宋" w:hAnsi="仿宋" w:eastAsia="仿宋" w:cs="仿宋"/>
                <w:b/>
                <w:color w:val="auto"/>
                <w:kern w:val="0"/>
                <w:sz w:val="18"/>
                <w:szCs w:val="18"/>
                <w:lang w:bidi="ar"/>
              </w:rPr>
              <w:t>单位及规格型号</w:t>
            </w:r>
          </w:p>
        </w:tc>
        <w:tc>
          <w:tcPr>
            <w:tcW w:w="0" w:type="auto"/>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sz w:val="18"/>
                <w:szCs w:val="18"/>
              </w:rPr>
            </w:pPr>
            <w:r>
              <w:rPr>
                <w:rFonts w:hint="eastAsia" w:ascii="仿宋" w:hAnsi="仿宋" w:eastAsia="仿宋" w:cs="仿宋"/>
                <w:b/>
                <w:color w:val="auto"/>
                <w:kern w:val="0"/>
                <w:sz w:val="18"/>
                <w:szCs w:val="18"/>
                <w:lang w:bidi="ar"/>
              </w:rPr>
              <w:t>数量</w:t>
            </w:r>
          </w:p>
        </w:tc>
        <w:tc>
          <w:tcPr>
            <w:tcW w:w="575"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kern w:val="0"/>
                <w:sz w:val="18"/>
                <w:szCs w:val="18"/>
                <w:lang w:bidi="ar"/>
              </w:rPr>
            </w:pPr>
          </w:p>
        </w:tc>
        <w:tc>
          <w:tcPr>
            <w:tcW w:w="2191"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b/>
                <w:color w:val="auto"/>
                <w:sz w:val="18"/>
                <w:szCs w:val="18"/>
              </w:rPr>
            </w:pPr>
            <w:r>
              <w:rPr>
                <w:rFonts w:hint="eastAsia" w:ascii="仿宋" w:hAnsi="仿宋" w:eastAsia="仿宋" w:cs="仿宋"/>
                <w:b/>
                <w:color w:val="auto"/>
                <w:kern w:val="0"/>
                <w:sz w:val="18"/>
                <w:szCs w:val="18"/>
                <w:lang w:bidi="ar"/>
              </w:rPr>
              <w:t>备注</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柴油水泵</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台/6寸</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钥匙7把</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汽油发电机</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台/5500W</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w:t>
            </w:r>
          </w:p>
        </w:tc>
        <w:tc>
          <w:tcPr>
            <w:tcW w:w="5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钥匙18把</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汽油发电机</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台/7500W</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rPr>
                <w:rFonts w:hint="eastAsia" w:ascii="仿宋" w:hAnsi="仿宋" w:eastAsia="仿宋" w:cs="仿宋"/>
                <w:color w:val="auto"/>
                <w:sz w:val="18"/>
                <w:szCs w:val="18"/>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涂塑水带</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条/6寸</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钢丝管</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条米/6寸</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4*8</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海滩摩托</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水泵接口</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防汛袋（大编织袋）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112000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56包/2000个</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锹把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包/30根</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铁锹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726</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包/12个</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大锤</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小锤</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钳子</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27</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钢筋钳子</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铁丝</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卷</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88</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雨鞋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双</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军绿色被子（棉）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21</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蓝色被子（棉）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21</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褥子（棉）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39</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绿色军大衣（棉）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17</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紫色大衣（棉）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17</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民政救灾折叠床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180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竹板床折叠床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应急灯</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坏了一个</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民政救灾帐篷（内胆）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套/12²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Style w:val="27"/>
                <w:rFonts w:hint="eastAsia" w:ascii="仿宋" w:hAnsi="仿宋" w:eastAsia="仿宋" w:cs="仿宋"/>
                <w:color w:val="auto"/>
                <w:sz w:val="18"/>
                <w:szCs w:val="18"/>
                <w:lang w:bidi="ar"/>
              </w:rPr>
              <w:t>133</w:t>
            </w:r>
            <w:r>
              <w:rPr>
                <w:rFonts w:hint="eastAsia" w:ascii="仿宋" w:hAnsi="仿宋" w:eastAsia="仿宋" w:cs="仿宋"/>
                <w:color w:val="auto"/>
                <w:kern w:val="0"/>
                <w:sz w:val="18"/>
                <w:szCs w:val="18"/>
                <w:lang w:bidi="ar"/>
              </w:rPr>
              <w:t>（110）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Style w:val="27"/>
                <w:rFonts w:hint="eastAsia" w:ascii="仿宋" w:hAnsi="仿宋" w:eastAsia="仿宋" w:cs="仿宋"/>
                <w:color w:val="auto"/>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民政救灾帐篷（外皮）</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套/12²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Style w:val="27"/>
                <w:rFonts w:hint="eastAsia" w:ascii="仿宋" w:hAnsi="仿宋" w:eastAsia="仿宋" w:cs="仿宋"/>
                <w:color w:val="auto"/>
                <w:sz w:val="18"/>
                <w:szCs w:val="18"/>
                <w:lang w:bidi="ar"/>
              </w:rPr>
              <w:t>143</w:t>
            </w:r>
            <w:r>
              <w:rPr>
                <w:rFonts w:hint="eastAsia" w:ascii="仿宋" w:hAnsi="仿宋" w:eastAsia="仿宋" w:cs="仿宋"/>
                <w:color w:val="auto"/>
                <w:kern w:val="0"/>
                <w:sz w:val="18"/>
                <w:szCs w:val="18"/>
                <w:lang w:bidi="ar"/>
              </w:rPr>
              <w:t>（110）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Style w:val="27"/>
                <w:rFonts w:hint="eastAsia" w:ascii="仿宋" w:hAnsi="仿宋" w:eastAsia="仿宋" w:cs="仿宋"/>
                <w:color w:val="auto"/>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民政救灾帐篷（立杆）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套/12²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Style w:val="27"/>
                <w:rFonts w:hint="eastAsia" w:ascii="仿宋" w:hAnsi="仿宋" w:eastAsia="仿宋" w:cs="仿宋"/>
                <w:color w:val="auto"/>
                <w:sz w:val="18"/>
                <w:szCs w:val="18"/>
                <w:lang w:bidi="ar"/>
              </w:rPr>
              <w:t>136</w:t>
            </w:r>
            <w:r>
              <w:rPr>
                <w:rFonts w:hint="eastAsia" w:ascii="仿宋" w:hAnsi="仿宋" w:eastAsia="仿宋" w:cs="仿宋"/>
                <w:color w:val="auto"/>
                <w:kern w:val="0"/>
                <w:sz w:val="18"/>
                <w:szCs w:val="18"/>
                <w:lang w:bidi="ar"/>
              </w:rPr>
              <w:t>（110）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Style w:val="27"/>
                <w:rFonts w:hint="eastAsia" w:ascii="仿宋" w:hAnsi="仿宋" w:eastAsia="仿宋" w:cs="仿宋"/>
                <w:color w:val="auto"/>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烟筒板</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民政配件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民政地钉</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包</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紫色军大衣</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卷</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被子（绿色、蓝色）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175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迷彩帐篷（内胆）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套/4*3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69</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迷彩帐篷（内胆）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套/2*3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迷彩帐篷（立杆）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74</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迷彩帐篷（横杆）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37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白色立杆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43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default" w:ascii="仿宋" w:hAnsi="仿宋" w:eastAsia="仿宋" w:cs="仿宋"/>
                <w:color w:val="auto"/>
                <w:kern w:val="0"/>
                <w:sz w:val="18"/>
                <w:szCs w:val="18"/>
                <w:lang w:val="en-US" w:eastAsia="zh-CN" w:bidi="ar"/>
              </w:rPr>
            </w:pPr>
            <w:r>
              <w:rPr>
                <w:rFonts w:hint="eastAsia" w:ascii="仿宋" w:hAnsi="仿宋" w:eastAsia="仿宋" w:cs="仿宋"/>
                <w:color w:val="auto"/>
                <w:kern w:val="0"/>
                <w:sz w:val="18"/>
                <w:szCs w:val="18"/>
                <w:lang w:val="en-US" w:eastAsia="zh-CN" w:bidi="ar"/>
              </w:rPr>
              <w:t>38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救生衣</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100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救生圈</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rPr>
                <w:rFonts w:hint="eastAsia" w:ascii="仿宋" w:hAnsi="仿宋" w:eastAsia="仿宋" w:cs="仿宋"/>
                <w:color w:val="auto"/>
                <w:sz w:val="18"/>
                <w:szCs w:val="18"/>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强光手电</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连体雨衣</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分体雨衣</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雨伞</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把</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编织袋(小编织袋）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50000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逃生绳</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简易绞盘</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抛扔器</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雨鞋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双</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水基灭火器（3Kg）</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nil"/>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中正消防</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干粉灭火器（35Kg）</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防护服</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套/37*20箱+12套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752</w:t>
            </w:r>
          </w:p>
        </w:tc>
        <w:tc>
          <w:tcPr>
            <w:tcW w:w="575" w:type="dxa"/>
            <w:tcBorders>
              <w:top w:val="nil"/>
              <w:left w:val="single" w:color="auto" w:sz="4" w:space="0"/>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restart"/>
            <w:tcBorders>
              <w:top w:val="nil"/>
              <w:left w:val="single" w:color="auto" w:sz="4" w:space="0"/>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国药集团内蒙古医疗器械有限公司</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隔离眼罩</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300</w:t>
            </w:r>
          </w:p>
        </w:tc>
        <w:tc>
          <w:tcPr>
            <w:tcW w:w="575" w:type="dxa"/>
            <w:tcBorders>
              <w:top w:val="nil"/>
              <w:left w:val="single" w:color="auto" w:sz="4" w:space="0"/>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continue"/>
            <w:tcBorders>
              <w:top w:val="nil"/>
              <w:left w:val="single" w:color="auto" w:sz="4" w:space="0"/>
              <w:bottom w:val="single" w:color="auto" w:sz="4" w:space="0"/>
              <w:right w:val="single" w:color="auto" w:sz="4" w:space="0"/>
            </w:tcBorders>
            <w:shd w:val="clear" w:color="000000" w:fill="FFFFFF"/>
            <w:tcMar>
              <w:top w:w="15" w:type="dxa"/>
              <w:left w:w="15" w:type="dxa"/>
              <w:right w:w="15" w:type="dxa"/>
            </w:tcMar>
            <w:vAlign w:val="center"/>
          </w:tcPr>
          <w:p>
            <w:pPr>
              <w:widowControl/>
              <w:spacing w:line="240" w:lineRule="exact"/>
              <w:jc w:val="center"/>
              <w:rPr>
                <w:rFonts w:hint="eastAsia" w:ascii="仿宋" w:hAnsi="仿宋" w:eastAsia="仿宋" w:cs="仿宋"/>
                <w:color w:val="auto"/>
                <w:sz w:val="18"/>
                <w:szCs w:val="18"/>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医用外科口罩</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个/2000*50箱</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100000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N95口罩</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正压防护服</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正压防护服（送风装置）</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防毒颗粒面罩</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套/面罩+滤毒罐</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泡腾消毒片</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瓶/29箱*100瓶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2900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手持热成效仪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红外测温仪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195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便携式气体检测仪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喷雾器</w:t>
            </w:r>
            <w:r>
              <w:rPr>
                <w:rFonts w:hint="eastAsia" w:ascii="仿宋" w:hAnsi="仿宋" w:eastAsia="仿宋" w:cs="仿宋"/>
                <w:color w:val="auto"/>
                <w:kern w:val="0"/>
                <w:sz w:val="18"/>
                <w:szCs w:val="18"/>
                <w:lang w:eastAsia="zh-CN" w:bidi="ar"/>
              </w:rPr>
              <w:t>、</w:t>
            </w:r>
            <w:r>
              <w:rPr>
                <w:rFonts w:hint="eastAsia" w:ascii="仿宋" w:hAnsi="仿宋" w:eastAsia="仿宋" w:cs="仿宋"/>
                <w:color w:val="auto"/>
                <w:kern w:val="0"/>
                <w:sz w:val="18"/>
                <w:szCs w:val="18"/>
                <w:lang w:bidi="ar"/>
              </w:rPr>
              <w:t xml:space="preserve"> 5电动、5燃油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橡胶手套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双</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759</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免洗手凝胶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370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xml:space="preserve">A型安全箱   （铝制）   </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xml:space="preserve">B型安全箱   （塑料）   </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次氯酸钠消毒片</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瓶/500克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4800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20瓶*240箱</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漂粉精片</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瓶/330克</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2000</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20瓶*100箱</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69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84消毒液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1443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个人携行装备</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套</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20</w:t>
            </w:r>
          </w:p>
        </w:tc>
        <w:tc>
          <w:tcPr>
            <w:tcW w:w="575" w:type="dxa"/>
            <w:tcBorders>
              <w:top w:val="nil"/>
              <w:left w:val="single" w:color="auto" w:sz="4" w:space="0"/>
              <w:bottom w:val="single" w:color="000000"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restart"/>
            <w:tcBorders>
              <w:top w:val="nil"/>
              <w:left w:val="single" w:color="auto" w:sz="4" w:space="0"/>
              <w:bottom w:val="single" w:color="000000"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国药集团内蒙古医疗器械有限公司</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84消毒液</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箱/30瓶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10550瓶/30瓶每箱</w:t>
            </w:r>
          </w:p>
        </w:tc>
        <w:tc>
          <w:tcPr>
            <w:tcW w:w="575" w:type="dxa"/>
            <w:tcBorders>
              <w:top w:val="nil"/>
              <w:left w:val="single" w:color="auto" w:sz="4" w:space="0"/>
              <w:bottom w:val="single" w:color="000000" w:sz="4" w:space="0"/>
              <w:right w:val="single" w:color="auto" w:sz="4" w:space="0"/>
            </w:tcBorders>
            <w:shd w:val="clear" w:color="000000" w:fill="FFFFFF"/>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vMerge w:val="continue"/>
            <w:tcBorders>
              <w:top w:val="nil"/>
              <w:left w:val="single" w:color="auto" w:sz="4" w:space="0"/>
              <w:bottom w:val="single" w:color="000000" w:sz="4" w:space="0"/>
              <w:right w:val="single" w:color="auto" w:sz="4" w:space="0"/>
            </w:tcBorders>
            <w:shd w:val="clear" w:color="000000" w:fill="FFFFFF"/>
            <w:tcMar>
              <w:top w:w="15" w:type="dxa"/>
              <w:left w:w="15" w:type="dxa"/>
              <w:right w:w="15" w:type="dxa"/>
            </w:tcMar>
            <w:vAlign w:val="center"/>
          </w:tcPr>
          <w:p>
            <w:pPr>
              <w:widowControl/>
              <w:spacing w:line="240" w:lineRule="exact"/>
              <w:jc w:val="center"/>
              <w:rPr>
                <w:rFonts w:hint="eastAsia" w:ascii="仿宋" w:hAnsi="仿宋" w:eastAsia="仿宋" w:cs="仿宋"/>
                <w:color w:val="auto"/>
                <w:sz w:val="18"/>
                <w:szCs w:val="18"/>
              </w:rPr>
            </w:pP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72</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对讲机</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24</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指挥中心</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73</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高压细水雾灭火机</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台</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74</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折叠桌子</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张</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15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75</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铁管</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45</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76</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隔离杆</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根</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257</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77</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地桩</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31</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78</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测温门</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40"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79</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电动喷雾器</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共计7个电动喷雾器</w:t>
            </w:r>
          </w:p>
        </w:tc>
      </w:tr>
      <w:tr>
        <w:tblPrEx>
          <w:tblCellMar>
            <w:top w:w="0" w:type="dxa"/>
            <w:left w:w="0" w:type="dxa"/>
            <w:bottom w:w="0" w:type="dxa"/>
            <w:right w:w="0"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80</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底座</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箱</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22</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sz w:val="18"/>
                <w:szCs w:val="18"/>
              </w:rPr>
            </w:pPr>
            <w:r>
              <w:rPr>
                <w:rFonts w:hint="eastAsia" w:ascii="仿宋" w:hAnsi="仿宋" w:eastAsia="仿宋" w:cs="仿宋"/>
                <w:color w:val="auto"/>
                <w:kern w:val="0"/>
                <w:sz w:val="18"/>
                <w:szCs w:val="18"/>
                <w:lang w:bidi="ar"/>
              </w:rPr>
              <w:t>　</w:t>
            </w:r>
          </w:p>
        </w:tc>
      </w:tr>
      <w:tr>
        <w:tblPrEx>
          <w:tblCellMar>
            <w:top w:w="0" w:type="dxa"/>
            <w:left w:w="0" w:type="dxa"/>
            <w:bottom w:w="0" w:type="dxa"/>
            <w:right w:w="0" w:type="dxa"/>
          </w:tblCellMar>
        </w:tblPrEx>
        <w:trPr>
          <w:trHeight w:val="375" w:hRule="atLeast"/>
        </w:trPr>
        <w:tc>
          <w:tcPr>
            <w:tcW w:w="0" w:type="auto"/>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81</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隔离架</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个</w:t>
            </w:r>
          </w:p>
        </w:tc>
        <w:tc>
          <w:tcPr>
            <w:tcW w:w="0" w:type="auto"/>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2"/>
                <w:sz w:val="18"/>
                <w:szCs w:val="18"/>
                <w:lang w:val="en-US" w:eastAsia="zh-CN" w:bidi="ar-SA"/>
              </w:rPr>
            </w:pPr>
            <w:r>
              <w:rPr>
                <w:rFonts w:hint="eastAsia" w:ascii="仿宋" w:hAnsi="仿宋" w:eastAsia="仿宋" w:cs="仿宋"/>
                <w:color w:val="auto"/>
                <w:kern w:val="0"/>
                <w:sz w:val="18"/>
                <w:szCs w:val="18"/>
                <w:lang w:bidi="ar"/>
              </w:rPr>
              <w:t>453</w:t>
            </w:r>
          </w:p>
        </w:tc>
        <w:tc>
          <w:tcPr>
            <w:tcW w:w="57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c>
          <w:tcPr>
            <w:tcW w:w="219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center"/>
              <w:textAlignment w:val="center"/>
              <w:rPr>
                <w:rFonts w:hint="eastAsia" w:ascii="仿宋" w:hAnsi="仿宋" w:eastAsia="仿宋" w:cs="仿宋"/>
                <w:color w:val="auto"/>
                <w:kern w:val="0"/>
                <w:sz w:val="18"/>
                <w:szCs w:val="18"/>
                <w:lang w:bidi="ar"/>
              </w:rPr>
            </w:pPr>
          </w:p>
        </w:tc>
      </w:tr>
    </w:tbl>
    <w:p>
      <w:pPr>
        <w:widowControl/>
        <w:spacing w:line="240" w:lineRule="exact"/>
        <w:jc w:val="left"/>
        <w:textAlignment w:val="center"/>
        <w:rPr>
          <w:rFonts w:hint="eastAsia" w:ascii="仿宋" w:hAnsi="仿宋" w:eastAsia="仿宋" w:cs="仿宋"/>
          <w:b/>
          <w:bCs/>
          <w:color w:val="auto"/>
          <w:kern w:val="0"/>
          <w:sz w:val="18"/>
          <w:szCs w:val="18"/>
          <w:lang w:val="en-US" w:eastAsia="zh-CN" w:bidi="ar"/>
        </w:rPr>
      </w:pPr>
      <w:r>
        <w:rPr>
          <w:rFonts w:hint="eastAsia" w:ascii="仿宋" w:hAnsi="仿宋" w:eastAsia="仿宋" w:cs="仿宋"/>
          <w:b/>
          <w:bCs/>
          <w:color w:val="auto"/>
          <w:kern w:val="0"/>
          <w:sz w:val="18"/>
          <w:szCs w:val="18"/>
          <w:lang w:val="en-US" w:eastAsia="zh-CN" w:bidi="ar"/>
        </w:rPr>
        <w:t>备注：</w:t>
      </w:r>
    </w:p>
    <w:p>
      <w:pPr>
        <w:widowControl/>
        <w:spacing w:line="240" w:lineRule="exact"/>
        <w:jc w:val="left"/>
        <w:textAlignment w:val="center"/>
        <w:rPr>
          <w:rFonts w:hint="eastAsia" w:ascii="仿宋" w:hAnsi="仿宋" w:eastAsia="仿宋" w:cs="仿宋"/>
          <w:b/>
          <w:bCs/>
          <w:color w:val="auto"/>
          <w:kern w:val="0"/>
          <w:sz w:val="18"/>
          <w:szCs w:val="18"/>
          <w:lang w:eastAsia="zh-CN" w:bidi="ar"/>
        </w:rPr>
      </w:pPr>
      <w:r>
        <w:rPr>
          <w:rFonts w:hint="eastAsia" w:ascii="仿宋" w:hAnsi="仿宋" w:eastAsia="仿宋" w:cs="仿宋"/>
          <w:b/>
          <w:bCs/>
          <w:color w:val="auto"/>
          <w:kern w:val="0"/>
          <w:sz w:val="18"/>
          <w:szCs w:val="18"/>
          <w:lang w:val="en-US" w:eastAsia="zh-CN" w:bidi="ar"/>
        </w:rPr>
        <w:t>应急救援物资存储位置为：</w:t>
      </w:r>
      <w:r>
        <w:rPr>
          <w:rFonts w:hint="eastAsia" w:ascii="仿宋" w:hAnsi="仿宋" w:eastAsia="仿宋" w:cs="仿宋"/>
          <w:b/>
          <w:bCs/>
          <w:color w:val="auto"/>
          <w:kern w:val="0"/>
          <w:sz w:val="18"/>
          <w:szCs w:val="18"/>
          <w:lang w:bidi="ar"/>
        </w:rPr>
        <w:t>呼和浩特市新城区成吉思汗东街衡达丁香河畔对面内蒙古顺拓商贸有限公司4号库房</w:t>
      </w:r>
      <w:r>
        <w:rPr>
          <w:rFonts w:hint="eastAsia" w:ascii="仿宋" w:hAnsi="仿宋" w:eastAsia="仿宋" w:cs="仿宋"/>
          <w:b/>
          <w:bCs/>
          <w:color w:val="auto"/>
          <w:kern w:val="0"/>
          <w:sz w:val="18"/>
          <w:szCs w:val="18"/>
          <w:lang w:eastAsia="zh-CN" w:bidi="ar"/>
        </w:rPr>
        <w:t>；</w:t>
      </w:r>
    </w:p>
    <w:p>
      <w:pPr>
        <w:widowControl/>
        <w:spacing w:line="240" w:lineRule="exact"/>
        <w:jc w:val="left"/>
        <w:textAlignment w:val="center"/>
        <w:rPr>
          <w:rFonts w:hint="default" w:ascii="仿宋" w:hAnsi="仿宋" w:eastAsia="仿宋" w:cs="仿宋"/>
          <w:b/>
          <w:bCs/>
          <w:color w:val="auto"/>
          <w:kern w:val="0"/>
          <w:sz w:val="18"/>
          <w:szCs w:val="18"/>
          <w:lang w:val="en-US" w:eastAsia="zh-CN" w:bidi="ar"/>
        </w:rPr>
      </w:pPr>
      <w:r>
        <w:rPr>
          <w:rFonts w:hint="eastAsia" w:ascii="仿宋" w:hAnsi="仿宋" w:eastAsia="仿宋" w:cs="仿宋"/>
          <w:b/>
          <w:bCs/>
          <w:color w:val="auto"/>
          <w:kern w:val="0"/>
          <w:sz w:val="18"/>
          <w:szCs w:val="18"/>
          <w:lang w:val="en-US" w:eastAsia="zh-CN" w:bidi="ar"/>
        </w:rPr>
        <w:t>联系人：包日更   13948418527</w:t>
      </w:r>
    </w:p>
    <w:p>
      <w:pPr>
        <w:pStyle w:val="7"/>
        <w:rPr>
          <w:rFonts w:hint="eastAsia" w:ascii="仿宋" w:hAnsi="仿宋" w:eastAsia="仿宋" w:cs="仿宋"/>
          <w:color w:val="auto"/>
          <w:lang w:val="en-US"/>
        </w:rPr>
        <w:sectPr>
          <w:pgSz w:w="11906" w:h="16838"/>
          <w:pgMar w:top="1440" w:right="1800" w:bottom="1440" w:left="1800" w:header="851" w:footer="992" w:gutter="0"/>
          <w:cols w:space="425" w:num="1"/>
          <w:docGrid w:type="lines" w:linePitch="312" w:charSpace="0"/>
        </w:sectPr>
      </w:pPr>
    </w:p>
    <w:p>
      <w:pPr>
        <w:adjustRightInd w:val="0"/>
        <w:snapToGrid w:val="0"/>
        <w:spacing w:line="360" w:lineRule="auto"/>
        <w:ind w:firstLine="640" w:firstLineChars="200"/>
        <w:outlineLvl w:val="1"/>
        <w:rPr>
          <w:rFonts w:hint="default" w:ascii="黑体" w:hAnsi="黑体" w:eastAsia="黑体" w:cs="黑体"/>
          <w:bCs/>
          <w:kern w:val="44"/>
          <w:sz w:val="32"/>
          <w:szCs w:val="44"/>
          <w:lang w:val="en-US"/>
        </w:rPr>
      </w:pPr>
      <w:bookmarkStart w:id="93" w:name="_Toc11914"/>
      <w:r>
        <w:rPr>
          <w:rFonts w:hint="eastAsia" w:ascii="黑体" w:hAnsi="黑体" w:eastAsia="黑体" w:cs="黑体"/>
          <w:bCs/>
          <w:kern w:val="44"/>
          <w:sz w:val="32"/>
          <w:szCs w:val="44"/>
          <w:lang w:val="en-US" w:eastAsia="zh-CN"/>
        </w:rPr>
        <w:t>附件5</w:t>
      </w:r>
      <w:r>
        <w:rPr>
          <w:rFonts w:hint="eastAsia" w:ascii="黑体" w:hAnsi="黑体" w:eastAsia="黑体" w:cs="黑体"/>
          <w:bCs/>
          <w:kern w:val="44"/>
          <w:sz w:val="32"/>
          <w:szCs w:val="44"/>
        </w:rPr>
        <w:t>新城区</w:t>
      </w:r>
      <w:r>
        <w:rPr>
          <w:rFonts w:hint="eastAsia" w:ascii="黑体" w:hAnsi="黑体" w:eastAsia="黑体" w:cs="黑体"/>
          <w:bCs/>
          <w:kern w:val="44"/>
          <w:sz w:val="32"/>
          <w:szCs w:val="44"/>
          <w:lang w:val="en-US" w:eastAsia="zh-CN"/>
        </w:rPr>
        <w:t>人员密集场所</w:t>
      </w:r>
      <w:bookmarkEnd w:id="93"/>
    </w:p>
    <w:p>
      <w:pPr>
        <w:ind w:firstLine="640" w:firstLineChars="200"/>
        <w:rPr>
          <w:rFonts w:hint="default"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新城区重点密集场所包括学校138家、医疗卫生机构79家、大型超市、百货店和亿元以上商品交易市场20家，文化旅游场所19家。人员密集场所分布图见下图所示。</w:t>
      </w:r>
    </w:p>
    <w:p>
      <w:pPr>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drawing>
          <wp:inline distT="0" distB="0" distL="114300" distR="114300">
            <wp:extent cx="8853805" cy="3611245"/>
            <wp:effectExtent l="0" t="0" r="4445" b="8255"/>
            <wp:docPr id="5" name="图片 5" descr="新城区人员密集场所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新城区人员密集场所分布图"/>
                    <pic:cNvPicPr>
                      <a:picLocks noChangeAspect="1"/>
                    </pic:cNvPicPr>
                  </pic:nvPicPr>
                  <pic:blipFill>
                    <a:blip r:embed="rId6"/>
                    <a:stretch>
                      <a:fillRect/>
                    </a:stretch>
                  </pic:blipFill>
                  <pic:spPr>
                    <a:xfrm>
                      <a:off x="0" y="0"/>
                      <a:ext cx="8853805" cy="3611245"/>
                    </a:xfrm>
                    <a:prstGeom prst="rect">
                      <a:avLst/>
                    </a:prstGeom>
                  </pic:spPr>
                </pic:pic>
              </a:graphicData>
            </a:graphic>
          </wp:inline>
        </w:drawing>
      </w:r>
    </w:p>
    <w:p>
      <w:pPr>
        <w:jc w:val="center"/>
        <w:rPr>
          <w:rFonts w:hint="default" w:ascii="仿宋" w:hAnsi="仿宋" w:eastAsia="仿宋" w:cs="仿宋"/>
          <w:b/>
          <w:bCs/>
          <w:sz w:val="21"/>
          <w:szCs w:val="21"/>
          <w:lang w:val="en-US" w:eastAsia="zh-CN"/>
        </w:rPr>
      </w:pPr>
      <w:r>
        <w:rPr>
          <w:rFonts w:hint="eastAsia" w:ascii="仿宋" w:hAnsi="仿宋" w:eastAsia="仿宋" w:cs="仿宋"/>
          <w:b/>
          <w:bCs/>
          <w:sz w:val="21"/>
          <w:szCs w:val="21"/>
          <w:lang w:val="en-US" w:eastAsia="zh-CN"/>
        </w:rPr>
        <w:t>人员密集场所分布图</w:t>
      </w:r>
    </w:p>
    <w:p>
      <w:pPr>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br w:type="page"/>
      </w:r>
    </w:p>
    <w:p>
      <w:pPr>
        <w:adjustRightInd w:val="0"/>
        <w:snapToGrid w:val="0"/>
        <w:spacing w:line="360" w:lineRule="auto"/>
        <w:ind w:firstLine="640" w:firstLineChars="200"/>
        <w:outlineLvl w:val="1"/>
        <w:rPr>
          <w:rFonts w:hint="default" w:ascii="黑体" w:hAnsi="黑体" w:eastAsia="黑体" w:cs="黑体"/>
          <w:bCs/>
          <w:kern w:val="44"/>
          <w:sz w:val="32"/>
          <w:szCs w:val="44"/>
          <w:lang w:val="en-US" w:eastAsia="zh-CN"/>
        </w:rPr>
      </w:pPr>
      <w:bookmarkStart w:id="94" w:name="_Toc6816"/>
      <w:r>
        <w:rPr>
          <w:rFonts w:hint="eastAsia" w:ascii="黑体" w:hAnsi="黑体" w:eastAsia="黑体" w:cs="黑体"/>
          <w:bCs/>
          <w:kern w:val="44"/>
          <w:sz w:val="32"/>
          <w:szCs w:val="44"/>
          <w:lang w:val="en-US" w:eastAsia="zh-CN"/>
        </w:rPr>
        <w:t>附件6新城区应急避险场所</w:t>
      </w:r>
      <w:bookmarkEnd w:id="94"/>
    </w:p>
    <w:tbl>
      <w:tblPr>
        <w:tblStyle w:val="17"/>
        <w:tblW w:w="12570" w:type="dxa"/>
        <w:tblInd w:w="-1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3220"/>
        <w:gridCol w:w="5000"/>
        <w:gridCol w:w="1800"/>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0" w:hRule="atLeast"/>
          <w:tblHeader/>
        </w:trPr>
        <w:tc>
          <w:tcPr>
            <w:tcW w:w="710"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序号</w:t>
            </w:r>
          </w:p>
        </w:tc>
        <w:tc>
          <w:tcPr>
            <w:tcW w:w="3220"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名称</w:t>
            </w:r>
          </w:p>
        </w:tc>
        <w:tc>
          <w:tcPr>
            <w:tcW w:w="5000"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位置</w:t>
            </w:r>
          </w:p>
        </w:tc>
        <w:tc>
          <w:tcPr>
            <w:tcW w:w="1800"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室内面积（㎡）</w:t>
            </w:r>
          </w:p>
        </w:tc>
        <w:tc>
          <w:tcPr>
            <w:tcW w:w="1840"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18"/>
                <w:szCs w:val="18"/>
                <w:u w:val="none"/>
                <w:lang w:val="en-US" w:eastAsia="zh-CN" w:bidi="ar"/>
              </w:rPr>
            </w:pPr>
            <w:r>
              <w:rPr>
                <w:rFonts w:hint="eastAsia" w:ascii="仿宋" w:hAnsi="仿宋" w:eastAsia="仿宋" w:cs="仿宋"/>
                <w:b/>
                <w:bCs/>
                <w:i w:val="0"/>
                <w:iCs w:val="0"/>
                <w:color w:val="000000"/>
                <w:kern w:val="0"/>
                <w:sz w:val="18"/>
                <w:szCs w:val="18"/>
                <w:u w:val="none"/>
                <w:lang w:val="en-US" w:eastAsia="zh-CN" w:bidi="ar"/>
              </w:rPr>
              <w:t>室外面积（㎡）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丁香路小学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新城区海东路东口路南100米处</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4495.36</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8261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成吉思汗街小学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新城区成吉思汗大街新体育场南500米处</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6000</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2667.3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八一路小学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八一路市场北团校巷43号</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1213.9</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2042.78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爱民街小学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新城区筑福城小区北侧</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1234</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7810.6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实验中学光华校区</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新城区光华街3号</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1500</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区东门外小学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新城区新华大街十四中西巷8号</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4508</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北垣小学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新城区北垣街星火巷4号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1600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6685.55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苏虎街实验小学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呼和浩特市新城区苏虎街1号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3894</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新城区车站小学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新城区文化宫北街67号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1253</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新华小学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新城区呼伦北路81号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3681</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业余体育学校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新城区书院西街4号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551</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讨思浩小学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新城区讨思浩村</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1190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苏虎街实验小学科尔沁校区</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新城区爱民街与奈曼路交汇处</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2483.67</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胜利街小学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新城区胜利西街32号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1920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山水小学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新城区成吉思汗大街山水路北端路西侧</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2252.16</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第三十八中学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新城区团结小区迎新东路三巷一号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5850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青山小学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新城区海拉尔大街24号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3144.33</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呼哈路小学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新城区兴安北路育才巷678号</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6156</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落凤街小学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新城区东落凤街13号</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7598</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10056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名都小学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爱民街与展东路交汇处北300米名都小学</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3137</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第二十一中学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110国道与呼哈路交汇处西100米北侧</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7012.05</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毫沁营小学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新城区成吉思汗街办事处毫沁营村</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6970</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海拉尔路小学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新城区八一路17号</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6965.43</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关帝庙街小学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新城区关帝庙街3号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5543.14</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敬业学校（新城区校区）</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新城区迎东二环路如意小区北34号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9969.42</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23195.9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电力交通职业技术学校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新城区成吉思汗东街鸿盛生活园区内</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2600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呼和浩特市建华学校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新城区兴安北路158号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1880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剑桥中学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新城区海拉尔东街929号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6080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交通职业技术学校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新城区呼伦北路105号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3445</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春蕾第一小学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新城区海东路妇干校巷43号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1680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保合少中心小学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新城区保合少镇保合少村</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616.83</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608.23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新营小学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新城区上新营村</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1800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第十九中学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新城区新城东街103号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16978.75</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团结小学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新城区团结小区北区3号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1200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第三十四中学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新城区爱民街18号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8137</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18359.6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光华小学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新城区光华街89号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2070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满族小学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内蒙古呼和浩特市新城区关帝庙街13号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9364.39</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英伯恩太伟小学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新城区保合少镇太伟度假村17、21号楼</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746</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府红学校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新城区毫沁营镇代洲营村</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2134</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国飞中学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新城区成吉思汗东街鸿盛工业园区内</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3300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9550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阳光学校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新城区阳光诺卡二期南门西</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2800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新民学校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新城区成吉思汗大街办事处石头新营村</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7959.6</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汽车工程职业技术学校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新城区海拉尔大街44号</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4720</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现代交通职业学校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呼哈路6公里内蒙古经贸外语职业学院内</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2450</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环成职业技术学校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新城区呼哈路与110国道交汇处北400米</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8034</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英博学校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新城区鸿盛工业园区英博学校</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2740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11547.6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建工职业技术学校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成吉思汗大街乌兰不浪西路生盖营村北600米</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8780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土默特中学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新城区海拉尔大街25号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10096.6</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22196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体育运动学校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新城区赛马场北路中段</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11664.7</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16636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民族学院</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新城区通道北路56号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61764</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51199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内蒙古体育职业学院</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新城区成吉思汗大街19号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3842.44</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18030.23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内蒙古工业大学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新城区爱民路(北)49号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109680.09</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内蒙古财经大学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新城区海拉尔大街47号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11713.24</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10416.88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商贸旅游职业学校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新城区海拉尔大街44号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35576.22</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内蒙古能源职业学院</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新城区新尼路（生盖营村北900米）</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15859.74</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内蒙古艺术学院</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新城区新华东街101号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31428.86</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内蒙古鸿德文理学院</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新城区机场路29号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82642.34</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80004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启秀中学（新城区）</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新城区书院西街4号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2808.84</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内蒙古卫生职业技术学校</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新城区兴安北路159号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4250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启秀中学东校区</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兴安路和爱民街十字路口向东100米路南</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2370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9940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第十四中学</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新城区新华东街97号</w:t>
            </w:r>
          </w:p>
        </w:tc>
        <w:tc>
          <w:tcPr>
            <w:tcW w:w="180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77945.35</w:t>
            </w:r>
          </w:p>
        </w:tc>
        <w:tc>
          <w:tcPr>
            <w:tcW w:w="1840" w:type="dxa"/>
            <w:vAlign w:val="bottom"/>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9550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内蒙古警察职业学院</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新城区兴安北路11号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12502</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125569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内蒙古少数民族群众文化体育运动中心</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新城区保合少镇呼和塔拉东街与野马图路交叉口向东1.3公里</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72891</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呼和浩特市体育中心</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新城区赛马场北路19号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45600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北方国家足球训练基地</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新城区生态路哈拉沁村村南50米</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63787.98</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呼和浩特市全民健身服务中心乒羽网保馆</w:t>
            </w:r>
          </w:p>
        </w:tc>
        <w:tc>
          <w:tcPr>
            <w:tcW w:w="5000" w:type="dxa"/>
            <w:vAlign w:val="center"/>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新城区展东路5号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23256</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内蒙古自治区体育场馆服务中心（内蒙古体育馆）</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新城区成吉思汗大街28号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33255</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tcPr>
          <w:p>
            <w:pPr>
              <w:keepNext w:val="0"/>
              <w:keepLines w:val="0"/>
              <w:widowControl/>
              <w:numPr>
                <w:ilvl w:val="0"/>
                <w:numId w:val="2"/>
              </w:numPr>
              <w:suppressLineNumbers w:val="0"/>
              <w:ind w:left="635" w:leftChars="0" w:hanging="425" w:firstLineChars="0"/>
              <w:jc w:val="center"/>
              <w:textAlignment w:val="bottom"/>
              <w:rPr>
                <w:rFonts w:hint="eastAsia" w:ascii="仿宋" w:hAnsi="仿宋" w:eastAsia="仿宋" w:cs="仿宋"/>
                <w:i w:val="0"/>
                <w:iCs w:val="0"/>
                <w:color w:val="000000"/>
                <w:kern w:val="0"/>
                <w:sz w:val="18"/>
                <w:szCs w:val="18"/>
                <w:u w:val="none"/>
                <w:lang w:val="en-US" w:eastAsia="zh-CN" w:bidi="ar"/>
              </w:rPr>
            </w:pPr>
          </w:p>
        </w:tc>
        <w:tc>
          <w:tcPr>
            <w:tcW w:w="322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呼和浩特体育场</w:t>
            </w:r>
          </w:p>
        </w:tc>
        <w:tc>
          <w:tcPr>
            <w:tcW w:w="5000"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新城区成吉思汗大街A号</w:t>
            </w:r>
          </w:p>
        </w:tc>
        <w:tc>
          <w:tcPr>
            <w:tcW w:w="180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58000</w:t>
            </w:r>
          </w:p>
        </w:tc>
        <w:tc>
          <w:tcPr>
            <w:tcW w:w="1840"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w:t>
            </w:r>
          </w:p>
        </w:tc>
      </w:tr>
    </w:tbl>
    <w:p>
      <w:pPr>
        <w:rPr>
          <w:rFonts w:hint="eastAsia" w:ascii="仿宋" w:hAnsi="仿宋" w:eastAsia="仿宋" w:cs="仿宋"/>
          <w:sz w:val="32"/>
          <w:szCs w:val="40"/>
          <w:lang w:val="en-US" w:eastAsia="zh-CN"/>
        </w:rPr>
      </w:pPr>
    </w:p>
    <w:p>
      <w:pPr>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br w:type="page"/>
      </w:r>
    </w:p>
    <w:p>
      <w:pPr>
        <w:adjustRightInd w:val="0"/>
        <w:snapToGrid w:val="0"/>
        <w:spacing w:line="360" w:lineRule="auto"/>
        <w:ind w:firstLine="640" w:firstLineChars="200"/>
        <w:outlineLvl w:val="1"/>
        <w:rPr>
          <w:rFonts w:hint="default" w:ascii="黑体" w:hAnsi="黑体" w:eastAsia="黑体" w:cs="黑体"/>
          <w:bCs/>
          <w:kern w:val="44"/>
          <w:sz w:val="32"/>
          <w:szCs w:val="44"/>
          <w:lang w:val="en-US" w:eastAsia="zh-CN"/>
        </w:rPr>
      </w:pPr>
      <w:bookmarkStart w:id="95" w:name="_Toc2110"/>
      <w:r>
        <w:rPr>
          <w:rFonts w:hint="eastAsia" w:ascii="黑体" w:hAnsi="黑体" w:eastAsia="黑体" w:cs="黑体"/>
          <w:bCs/>
          <w:kern w:val="44"/>
          <w:sz w:val="32"/>
          <w:szCs w:val="44"/>
          <w:lang w:val="en-US" w:eastAsia="zh-CN"/>
        </w:rPr>
        <w:t>附件7新城区主要救治医院信息表</w:t>
      </w:r>
      <w:bookmarkEnd w:id="95"/>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4023"/>
        <w:gridCol w:w="2357"/>
        <w:gridCol w:w="2357"/>
        <w:gridCol w:w="2357"/>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03"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序号</w:t>
            </w:r>
          </w:p>
        </w:tc>
        <w:tc>
          <w:tcPr>
            <w:tcW w:w="4111"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医院名称</w:t>
            </w:r>
          </w:p>
        </w:tc>
        <w:tc>
          <w:tcPr>
            <w:tcW w:w="2408"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位置</w:t>
            </w:r>
          </w:p>
        </w:tc>
        <w:tc>
          <w:tcPr>
            <w:tcW w:w="2408"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医院等级</w:t>
            </w:r>
          </w:p>
        </w:tc>
        <w:tc>
          <w:tcPr>
            <w:tcW w:w="2408"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床位数</w:t>
            </w:r>
          </w:p>
        </w:tc>
        <w:tc>
          <w:tcPr>
            <w:tcW w:w="2408" w:type="dxa"/>
            <w:vAlign w:val="center"/>
          </w:tcPr>
          <w:p>
            <w:pPr>
              <w:keepNext w:val="0"/>
              <w:keepLines w:val="0"/>
              <w:widowControl/>
              <w:suppressLineNumbers w:val="0"/>
              <w:jc w:val="center"/>
              <w:textAlignment w:val="bottom"/>
              <w:rPr>
                <w:rFonts w:hint="eastAsia" w:ascii="仿宋" w:hAnsi="仿宋" w:eastAsia="仿宋" w:cs="仿宋"/>
                <w:b/>
                <w:bCs/>
                <w:i w:val="0"/>
                <w:iCs w:val="0"/>
                <w:color w:val="000000"/>
                <w:kern w:val="0"/>
                <w:sz w:val="21"/>
                <w:szCs w:val="21"/>
                <w:u w:val="none"/>
                <w:lang w:val="en-US" w:eastAsia="zh-CN" w:bidi="ar"/>
              </w:rPr>
            </w:pPr>
            <w:r>
              <w:rPr>
                <w:rFonts w:hint="eastAsia" w:ascii="仿宋" w:hAnsi="仿宋" w:eastAsia="仿宋" w:cs="仿宋"/>
                <w:b/>
                <w:bCs/>
                <w:i w:val="0"/>
                <w:iCs w:val="0"/>
                <w:color w:val="000000"/>
                <w:kern w:val="0"/>
                <w:sz w:val="21"/>
                <w:szCs w:val="21"/>
                <w:u w:val="none"/>
                <w:lang w:val="en-US" w:eastAsia="zh-CN" w:bidi="ar"/>
              </w:rPr>
              <w:t>急救电话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trPr>
        <w:tc>
          <w:tcPr>
            <w:tcW w:w="703"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w:t>
            </w:r>
          </w:p>
        </w:tc>
        <w:tc>
          <w:tcPr>
            <w:tcW w:w="4111"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呼和浩特市新城区医院</w:t>
            </w:r>
          </w:p>
        </w:tc>
        <w:tc>
          <w:tcPr>
            <w:tcW w:w="2408"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内蒙古自治区呼和浩特市新城区哲里木路77号</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乙等,二级</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100</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0471-8904202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2</w:t>
            </w:r>
          </w:p>
        </w:tc>
        <w:tc>
          <w:tcPr>
            <w:tcW w:w="4111"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内蒙古自治区精神卫生中心（内蒙古自治区第三医院、内蒙古自治区精神卫生研究所）</w:t>
            </w:r>
          </w:p>
        </w:tc>
        <w:tc>
          <w:tcPr>
            <w:tcW w:w="2408"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内蒙古自治区呼和浩特市新城区乌兰察布东街23号</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820</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0471-4935437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03"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3</w:t>
            </w:r>
          </w:p>
        </w:tc>
        <w:tc>
          <w:tcPr>
            <w:tcW w:w="4111"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内蒙古自治区中医医院</w:t>
            </w:r>
          </w:p>
        </w:tc>
        <w:tc>
          <w:tcPr>
            <w:tcW w:w="2408"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内蒙古自治区呼和浩特市新城区健康街</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959</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0471-6920457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4</w:t>
            </w:r>
          </w:p>
        </w:tc>
        <w:tc>
          <w:tcPr>
            <w:tcW w:w="4111"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内蒙古自治区妇幼保健院（（内蒙古自治区儿童医院）（内蒙古自治区妇产医院））</w:t>
            </w:r>
          </w:p>
        </w:tc>
        <w:tc>
          <w:tcPr>
            <w:tcW w:w="2408"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内蒙古自治区呼和浩特市新新城区北二环快速路18号</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800</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0471-6357471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3"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5</w:t>
            </w:r>
          </w:p>
        </w:tc>
        <w:tc>
          <w:tcPr>
            <w:tcW w:w="4111"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内蒙古自治区第四医院</w:t>
            </w:r>
          </w:p>
        </w:tc>
        <w:tc>
          <w:tcPr>
            <w:tcW w:w="2408" w:type="dxa"/>
            <w:vAlign w:val="bottom"/>
          </w:tcPr>
          <w:p>
            <w:pPr>
              <w:keepNext w:val="0"/>
              <w:keepLines w:val="0"/>
              <w:widowControl/>
              <w:suppressLineNumbers w:val="0"/>
              <w:jc w:val="left"/>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内蒙古呼和浩特市新城区机场路与110国道连接路中段</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甲等,三级</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620</w:t>
            </w:r>
          </w:p>
        </w:tc>
        <w:tc>
          <w:tcPr>
            <w:tcW w:w="240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21"/>
                <w:szCs w:val="21"/>
                <w:u w:val="none"/>
                <w:lang w:val="en-US" w:eastAsia="zh-CN" w:bidi="ar"/>
              </w:rPr>
            </w:pPr>
            <w:r>
              <w:rPr>
                <w:rFonts w:hint="eastAsia" w:ascii="仿宋" w:hAnsi="仿宋" w:eastAsia="仿宋" w:cs="仿宋"/>
                <w:i w:val="0"/>
                <w:iCs w:val="0"/>
                <w:color w:val="000000"/>
                <w:kern w:val="0"/>
                <w:sz w:val="21"/>
                <w:szCs w:val="21"/>
                <w:u w:val="none"/>
                <w:lang w:val="en-US" w:eastAsia="zh-CN" w:bidi="ar"/>
              </w:rPr>
              <w:t>0471-2318303</w:t>
            </w:r>
          </w:p>
        </w:tc>
      </w:tr>
    </w:tbl>
    <w:p>
      <w:pPr>
        <w:rPr>
          <w:rFonts w:hint="eastAsia" w:ascii="仿宋" w:hAnsi="仿宋" w:eastAsia="仿宋" w:cs="仿宋"/>
          <w:sz w:val="32"/>
          <w:szCs w:val="40"/>
          <w:lang w:val="en-US" w:eastAsia="zh-CN"/>
        </w:rPr>
      </w:pPr>
      <w:r>
        <w:rPr>
          <w:rFonts w:hint="eastAsia" w:ascii="仿宋" w:hAnsi="仿宋" w:eastAsia="仿宋" w:cs="仿宋"/>
          <w:sz w:val="32"/>
          <w:szCs w:val="40"/>
          <w:lang w:val="en-US" w:eastAsia="zh-CN"/>
        </w:rPr>
        <w:br w:type="page"/>
      </w:r>
    </w:p>
    <w:p>
      <w:pPr>
        <w:rPr>
          <w:rFonts w:hint="eastAsia" w:ascii="仿宋" w:hAnsi="仿宋" w:eastAsia="仿宋" w:cs="仿宋"/>
          <w:sz w:val="32"/>
          <w:szCs w:val="40"/>
          <w:lang w:val="en-US" w:eastAsia="zh-CN"/>
        </w:rPr>
        <w:sectPr>
          <w:pgSz w:w="16838" w:h="11906" w:orient="landscape"/>
          <w:pgMar w:top="1800" w:right="1440" w:bottom="1800" w:left="1440" w:header="851" w:footer="992" w:gutter="0"/>
          <w:pgNumType w:fmt="decimal"/>
          <w:cols w:space="425" w:num="1"/>
          <w:docGrid w:type="lines" w:linePitch="312" w:charSpace="0"/>
        </w:sectPr>
      </w:pPr>
    </w:p>
    <w:p>
      <w:pPr>
        <w:adjustRightInd w:val="0"/>
        <w:snapToGrid w:val="0"/>
        <w:spacing w:line="360" w:lineRule="auto"/>
        <w:ind w:firstLine="640" w:firstLineChars="200"/>
        <w:outlineLvl w:val="1"/>
        <w:rPr>
          <w:rFonts w:hint="default" w:ascii="黑体" w:hAnsi="黑体" w:eastAsia="黑体" w:cs="黑体"/>
          <w:bCs/>
          <w:kern w:val="44"/>
          <w:sz w:val="32"/>
          <w:szCs w:val="44"/>
          <w:lang w:val="en-US" w:eastAsia="zh-CN"/>
        </w:rPr>
      </w:pPr>
      <w:bookmarkStart w:id="96" w:name="_Toc9391"/>
      <w:r>
        <w:rPr>
          <w:rFonts w:hint="eastAsia" w:ascii="黑体" w:hAnsi="黑体" w:eastAsia="黑体" w:cs="黑体"/>
          <w:bCs/>
          <w:kern w:val="44"/>
          <w:sz w:val="32"/>
          <w:szCs w:val="44"/>
          <w:lang w:val="en-US" w:eastAsia="zh-CN"/>
        </w:rPr>
        <w:t>附件8新城区大型超市和亿元以上商品交易市场统计表</w:t>
      </w:r>
      <w:bookmarkEnd w:id="96"/>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
        <w:gridCol w:w="4009"/>
        <w:gridCol w:w="6636"/>
        <w:gridCol w:w="2040"/>
        <w:gridCol w:w="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spacing w:line="240" w:lineRule="auto"/>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序号</w:t>
            </w:r>
          </w:p>
        </w:tc>
        <w:tc>
          <w:tcPr>
            <w:tcW w:w="4009" w:type="dxa"/>
            <w:vAlign w:val="center"/>
          </w:tcPr>
          <w:p>
            <w:pPr>
              <w:spacing w:line="240" w:lineRule="auto"/>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名称</w:t>
            </w:r>
          </w:p>
        </w:tc>
        <w:tc>
          <w:tcPr>
            <w:tcW w:w="6636" w:type="dxa"/>
            <w:vAlign w:val="center"/>
          </w:tcPr>
          <w:p>
            <w:pPr>
              <w:spacing w:line="240" w:lineRule="auto"/>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具体地址</w:t>
            </w:r>
          </w:p>
        </w:tc>
        <w:tc>
          <w:tcPr>
            <w:tcW w:w="2040" w:type="dxa"/>
            <w:vAlign w:val="center"/>
          </w:tcPr>
          <w:p>
            <w:pPr>
              <w:spacing w:line="240" w:lineRule="auto"/>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类型</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内蒙古诚信数码大厦有限责任公司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内蒙古自治区呼和浩特市新城区西街街道中山东路7号</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亿元以上商品交易市场</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内蒙古维多利新城商业管理有限公司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内蒙古自治区呼和浩特市新城区东街街道新华东街8号</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百货店</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内蒙古喜悦商业管理有限公司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内蒙古自治区呼和浩特市新城区成吉思汗大街街道兴安北路众合商务中心3037号</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百货店</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内蒙古鼎坤商业管理有限公司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内蒙古自治区呼和浩特市新城区成吉思汗大街街道成吉思汗大街16号</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百货店</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呼和浩特市新城区青城劝业场集资户持股会</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内蒙古自治区呼和浩特市新城区东街街道新城南街66号</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百货店</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内蒙古海亮商贸有限公司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内蒙古自治区呼和浩特市新城区锡林街道锡林北路与光明大街交汇处</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百货店</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内蒙古通达实业股份有限公司通达商场</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内蒙古自治区呼和浩特市新城区锡林街道车站东街10号</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亿元以上商品交易市场</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内蒙古凯德新世纪商贸有限责任公司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内蒙古自治区呼和浩特市新城区西街街道新城西街48号</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百货店</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内蒙古盛业物联商业有限公司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内蒙古自治区呼和浩特市新城区锡林街道车站东街108号</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百货店</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呼和浩特市金天帝皮草有限公司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内蒙古自治区呼和浩特市新城区西街街道中山东路6号金天帝广场</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百货店</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内蒙古鼎盛商业综合体管理服务有限公司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内蒙古自治区呼和浩特市新城区西街街道中山东路8号</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百货店</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呼和浩特市居然之家家具建材市场有限责任公司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内蒙古自治区呼和浩特市新城区东街街道兴安北路169号</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百货店</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内蒙古华联综合超市有限公司呼和浩特分公司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内蒙古自治区呼和浩特市新城区锡林街道车站西街88号</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大型超市</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内蒙古华联综合超市有限公司呼和浩特哲理木路分公司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内蒙古自治区呼和浩特市新城区成吉思汗大街街道成吉思汗大街哲里木路滨海友谊广场B区和C区地下负一层</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大型超市</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内蒙古华联综合超市有限公司呼和浩特兴安北路分公司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内蒙古自治区呼和浩特市新城区东街街道兴安北路169号蒙苑广场项目地上一层和地上二层</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大型超市</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内蒙古润宇装饰城市场有限公司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内蒙古自治区呼和浩特市新城区兴安北路建化仓库院内</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亿元以上商品交易市场</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呼和浩特市弘创便民市场有限责任公司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内蒙古自治区呼和浩特市新城区成吉思汗大街街道下新营村110国道旁</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亿元以上商品交易市场</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内蒙古福海兴水产有限责任公司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内蒙古自治区呼和浩特市新城区呼哈公路3.5公里处</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亿元以上商品交易市场</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内蒙古澳赢商贸有限公司呼和浩特分公司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内蒙古自治区呼和浩特市新城区兴安北路46号院内</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亿元以上商品交易市场</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92" w:type="dxa"/>
            <w:vAlign w:val="center"/>
          </w:tcPr>
          <w:p>
            <w:pPr>
              <w:numPr>
                <w:ilvl w:val="0"/>
                <w:numId w:val="3"/>
              </w:numPr>
              <w:spacing w:line="240" w:lineRule="auto"/>
              <w:ind w:left="845" w:leftChars="0" w:hanging="425" w:firstLineChars="0"/>
              <w:jc w:val="center"/>
              <w:rPr>
                <w:rFonts w:hint="eastAsia" w:ascii="仿宋" w:hAnsi="仿宋" w:eastAsia="仿宋" w:cs="仿宋"/>
                <w:b/>
                <w:bCs/>
                <w:sz w:val="18"/>
                <w:szCs w:val="18"/>
                <w:vertAlign w:val="baseline"/>
                <w:lang w:val="en-US" w:eastAsia="zh-CN"/>
              </w:rPr>
            </w:pPr>
          </w:p>
        </w:tc>
        <w:tc>
          <w:tcPr>
            <w:tcW w:w="4009"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内蒙古诺亚方舟商业管理有限公司</w:t>
            </w:r>
          </w:p>
        </w:tc>
        <w:tc>
          <w:tcPr>
            <w:tcW w:w="6636"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内蒙古自治区呼和浩特市新城区北二环与通道北路交汇处</w:t>
            </w:r>
          </w:p>
        </w:tc>
        <w:tc>
          <w:tcPr>
            <w:tcW w:w="2040" w:type="dxa"/>
            <w:vAlign w:val="center"/>
          </w:tcPr>
          <w:p>
            <w:pPr>
              <w:keepNext w:val="0"/>
              <w:keepLines w:val="0"/>
              <w:widowControl/>
              <w:suppressLineNumbers w:val="0"/>
              <w:spacing w:line="240" w:lineRule="auto"/>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亿元以上商品交易市场</w:t>
            </w:r>
          </w:p>
        </w:tc>
        <w:tc>
          <w:tcPr>
            <w:tcW w:w="597" w:type="dxa"/>
            <w:vAlign w:val="center"/>
          </w:tcPr>
          <w:p>
            <w:pPr>
              <w:spacing w:line="240" w:lineRule="auto"/>
              <w:jc w:val="center"/>
              <w:rPr>
                <w:rFonts w:hint="eastAsia" w:ascii="仿宋" w:hAnsi="仿宋" w:eastAsia="仿宋" w:cs="仿宋"/>
                <w:b/>
                <w:bCs/>
                <w:sz w:val="18"/>
                <w:szCs w:val="18"/>
                <w:vertAlign w:val="baseline"/>
                <w:lang w:val="en-US" w:eastAsia="zh-CN"/>
              </w:rPr>
            </w:pPr>
          </w:p>
        </w:tc>
      </w:tr>
    </w:tbl>
    <w:p>
      <w:pPr>
        <w:rPr>
          <w:rFonts w:hint="eastAsia" w:ascii="仿宋" w:hAnsi="仿宋" w:eastAsia="仿宋" w:cs="仿宋"/>
          <w:sz w:val="32"/>
          <w:szCs w:val="40"/>
          <w:lang w:val="en-US" w:eastAsia="zh-CN"/>
        </w:rPr>
        <w:sectPr>
          <w:pgSz w:w="16838" w:h="11906" w:orient="landscape"/>
          <w:pgMar w:top="1800" w:right="1440" w:bottom="1800" w:left="1440" w:header="851" w:footer="992" w:gutter="0"/>
          <w:pgNumType w:fmt="decimal"/>
          <w:cols w:space="425" w:num="1"/>
          <w:docGrid w:type="lines" w:linePitch="312" w:charSpace="0"/>
        </w:sectPr>
      </w:pPr>
    </w:p>
    <w:p>
      <w:pPr>
        <w:adjustRightInd w:val="0"/>
        <w:snapToGrid w:val="0"/>
        <w:spacing w:line="360" w:lineRule="auto"/>
        <w:ind w:firstLine="640" w:firstLineChars="200"/>
        <w:outlineLvl w:val="1"/>
        <w:rPr>
          <w:rFonts w:hint="default" w:ascii="黑体" w:hAnsi="黑体" w:eastAsia="黑体" w:cs="黑体"/>
          <w:bCs/>
          <w:kern w:val="44"/>
          <w:sz w:val="32"/>
          <w:szCs w:val="44"/>
          <w:lang w:val="en-US" w:eastAsia="zh-CN"/>
        </w:rPr>
      </w:pPr>
      <w:bookmarkStart w:id="97" w:name="_Toc28335"/>
      <w:r>
        <w:rPr>
          <w:rFonts w:hint="eastAsia" w:ascii="黑体" w:hAnsi="黑体" w:eastAsia="黑体" w:cs="黑体"/>
          <w:bCs/>
          <w:kern w:val="44"/>
          <w:sz w:val="32"/>
          <w:szCs w:val="44"/>
          <w:lang w:val="en-US" w:eastAsia="zh-CN"/>
        </w:rPr>
        <w:t>附件9新城区文化场所统计表</w:t>
      </w:r>
      <w:bookmarkEnd w:id="97"/>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4202"/>
        <w:gridCol w:w="6298"/>
        <w:gridCol w:w="1904"/>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序号</w:t>
            </w:r>
          </w:p>
        </w:tc>
        <w:tc>
          <w:tcPr>
            <w:tcW w:w="4202" w:type="dxa"/>
            <w:vAlign w:val="center"/>
          </w:tcPr>
          <w:p>
            <w:pPr>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名称</w:t>
            </w:r>
          </w:p>
        </w:tc>
        <w:tc>
          <w:tcPr>
            <w:tcW w:w="6298" w:type="dxa"/>
            <w:vAlign w:val="center"/>
          </w:tcPr>
          <w:p>
            <w:pPr>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具体地址</w:t>
            </w:r>
          </w:p>
        </w:tc>
        <w:tc>
          <w:tcPr>
            <w:tcW w:w="1904" w:type="dxa"/>
            <w:vAlign w:val="center"/>
          </w:tcPr>
          <w:p>
            <w:pPr>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类型</w:t>
            </w:r>
          </w:p>
        </w:tc>
        <w:tc>
          <w:tcPr>
            <w:tcW w:w="915" w:type="dxa"/>
            <w:vAlign w:val="center"/>
          </w:tcPr>
          <w:p>
            <w:pPr>
              <w:jc w:val="center"/>
              <w:rPr>
                <w:rFonts w:hint="eastAsia" w:ascii="仿宋" w:hAnsi="仿宋" w:eastAsia="仿宋" w:cs="仿宋"/>
                <w:b/>
                <w:bCs/>
                <w:sz w:val="18"/>
                <w:szCs w:val="18"/>
                <w:vertAlign w:val="baseline"/>
                <w:lang w:val="en-US" w:eastAsia="zh-CN"/>
              </w:rPr>
            </w:pPr>
            <w:r>
              <w:rPr>
                <w:rFonts w:hint="eastAsia" w:ascii="仿宋" w:hAnsi="仿宋" w:eastAsia="仿宋" w:cs="仿宋"/>
                <w:b/>
                <w:bCs/>
                <w:sz w:val="18"/>
                <w:szCs w:val="18"/>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呼和浩特保利剧院管理有限公司</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内蒙古自治区呼和浩特市新城区新华东街27号</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艺术表演场馆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乌力格尔艺术宫</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内蒙古自治区呼和浩特市新城区西街71号</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艺术表演场馆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内蒙古艺术剧院音乐厅</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内蒙古自治区呼和浩特市新城区北垣东街甲16号</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艺术表演场馆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呼和浩特市新城区图书馆</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内蒙古自治区呼和浩特市新城区艺术厅北街星火巷20号</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图书馆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呼和浩特市文化保护与考古研究中心（多松年烈士纪念馆）</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内蒙古自治区呼和浩特市新城区呼伦北路北郊公园东侧呼和巷往东500米处</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博物馆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呼和浩特市新城区文化馆</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内蒙古自治区呼和浩特市新城区艺术厅北街星火巷20号</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文化馆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呼和浩特博物院（白马博物馆）</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内蒙古自治区呼和浩特市新城区新华大街44号</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博物馆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呼和浩特博物院（和硕恪靖公主府）</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内蒙古自治区呼和浩特市新城区通道北路62号</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博物馆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呼和浩特博物院（内蒙古自治区将军衙署博物院）</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内蒙古自治区呼和浩特市新城区新华大街31号</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博物馆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内蒙古博物院</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内蒙古自治区呼和浩特市新城区新华东街27号</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博物馆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横店影视股份有限公司呼和浩特分公司</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内蒙古自治区呼和浩特市新城区成吉思汗大街与哲里木路交汇处滨海商业广场c区四楼</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艺术表演场馆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呼和浩特市新城区环球数字影院</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内蒙古自治区呼和浩特市新城区新华大街鼓楼立交桥十字路口东南角七天连锁酒店(草原明珠正南面)大楼1楼西侧</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艺术表演场馆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呼和浩特市奥际影视文化传媒有限公司</w:t>
            </w:r>
          </w:p>
        </w:tc>
        <w:tc>
          <w:tcPr>
            <w:tcW w:w="6298"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内蒙古自治区呼和浩特市新城区成吉思汗大街财富港商业中心4楼</w:t>
            </w:r>
          </w:p>
        </w:tc>
        <w:tc>
          <w:tcPr>
            <w:tcW w:w="1904" w:type="dxa"/>
            <w:vAlign w:val="center"/>
          </w:tcPr>
          <w:p>
            <w:pPr>
              <w:keepNext w:val="0"/>
              <w:keepLines w:val="0"/>
              <w:widowControl/>
              <w:suppressLineNumbers w:val="0"/>
              <w:jc w:val="center"/>
              <w:textAlignment w:val="bottom"/>
              <w:rPr>
                <w:rFonts w:hint="eastAsia" w:ascii="仿宋" w:hAnsi="仿宋" w:eastAsia="仿宋" w:cs="仿宋"/>
                <w:b/>
                <w:bCs/>
                <w:sz w:val="18"/>
                <w:szCs w:val="18"/>
                <w:vertAlign w:val="baseline"/>
                <w:lang w:val="en-US" w:eastAsia="zh-CN"/>
              </w:rPr>
            </w:pPr>
            <w:r>
              <w:rPr>
                <w:rFonts w:hint="eastAsia" w:ascii="仿宋" w:hAnsi="仿宋" w:eastAsia="仿宋" w:cs="仿宋"/>
                <w:i w:val="0"/>
                <w:iCs w:val="0"/>
                <w:color w:val="000000"/>
                <w:kern w:val="0"/>
                <w:sz w:val="18"/>
                <w:szCs w:val="18"/>
                <w:u w:val="none"/>
                <w:lang w:val="en-US" w:eastAsia="zh-CN" w:bidi="ar"/>
              </w:rPr>
              <w:t>艺术表演场馆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呼和浩特万达国际电影城有限公司喜悦广场店</w:t>
            </w:r>
          </w:p>
        </w:tc>
        <w:tc>
          <w:tcPr>
            <w:tcW w:w="629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内蒙古自治区呼和浩特市新城区兴安北路与北二环路交口西南角喜悦广场四、五层</w:t>
            </w:r>
          </w:p>
        </w:tc>
        <w:tc>
          <w:tcPr>
            <w:tcW w:w="1904"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艺术表演场馆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内蒙古恒大嘉凯影城管理有限公司呼和浩特市第四分公司</w:t>
            </w:r>
          </w:p>
        </w:tc>
        <w:tc>
          <w:tcPr>
            <w:tcW w:w="629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内蒙古自治区呼和浩特市新城区防风林南街以南、展览馆东路以东恒大城四期商业及影城2-3层</w:t>
            </w:r>
          </w:p>
        </w:tc>
        <w:tc>
          <w:tcPr>
            <w:tcW w:w="1904"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艺术表演场馆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内蒙古星维影院有限责任公司</w:t>
            </w:r>
          </w:p>
        </w:tc>
        <w:tc>
          <w:tcPr>
            <w:tcW w:w="629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内蒙古自治区呼和浩特市新城区新华东街8号维多利国际商城B座5楼</w:t>
            </w:r>
          </w:p>
        </w:tc>
        <w:tc>
          <w:tcPr>
            <w:tcW w:w="1904"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艺术表演场馆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内蒙古科学技术馆</w:t>
            </w:r>
          </w:p>
        </w:tc>
        <w:tc>
          <w:tcPr>
            <w:tcW w:w="629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内蒙古自治区呼和浩特市新城区北垣东街甲18号</w:t>
            </w:r>
          </w:p>
        </w:tc>
        <w:tc>
          <w:tcPr>
            <w:tcW w:w="1904"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文化馆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内蒙古少数民族群众文化体育运动中心</w:t>
            </w:r>
          </w:p>
        </w:tc>
        <w:tc>
          <w:tcPr>
            <w:tcW w:w="629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内蒙古自治区呼和浩特市新城区保合少镇呼和塔拉东街与野马图路交叉口向东1.3公里</w:t>
            </w:r>
          </w:p>
        </w:tc>
        <w:tc>
          <w:tcPr>
            <w:tcW w:w="1904"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艺术表演场馆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855" w:type="dxa"/>
            <w:vAlign w:val="center"/>
          </w:tcPr>
          <w:p>
            <w:pPr>
              <w:numPr>
                <w:ilvl w:val="0"/>
                <w:numId w:val="4"/>
              </w:numPr>
              <w:ind w:left="845" w:leftChars="0" w:hanging="425" w:firstLineChars="0"/>
              <w:jc w:val="center"/>
              <w:rPr>
                <w:rFonts w:hint="eastAsia" w:ascii="仿宋" w:hAnsi="仿宋" w:eastAsia="仿宋" w:cs="仿宋"/>
                <w:b/>
                <w:bCs/>
                <w:sz w:val="18"/>
                <w:szCs w:val="18"/>
                <w:vertAlign w:val="baseline"/>
                <w:lang w:val="en-US" w:eastAsia="zh-CN"/>
              </w:rPr>
            </w:pPr>
          </w:p>
        </w:tc>
        <w:tc>
          <w:tcPr>
            <w:tcW w:w="4202"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内蒙古乌兰恰特演出有限责任公司</w:t>
            </w:r>
          </w:p>
        </w:tc>
        <w:tc>
          <w:tcPr>
            <w:tcW w:w="6298"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内蒙古自治区呼和浩特市新城区新华东街与东二环交汇处西北角</w:t>
            </w:r>
          </w:p>
        </w:tc>
        <w:tc>
          <w:tcPr>
            <w:tcW w:w="1904" w:type="dxa"/>
            <w:vAlign w:val="center"/>
          </w:tcPr>
          <w:p>
            <w:pPr>
              <w:keepNext w:val="0"/>
              <w:keepLines w:val="0"/>
              <w:widowControl/>
              <w:suppressLineNumbers w:val="0"/>
              <w:jc w:val="center"/>
              <w:textAlignment w:val="bottom"/>
              <w:rPr>
                <w:rFonts w:hint="eastAsia" w:ascii="仿宋" w:hAnsi="仿宋" w:eastAsia="仿宋" w:cs="仿宋"/>
                <w:i w:val="0"/>
                <w:iCs w:val="0"/>
                <w:color w:val="000000"/>
                <w:kern w:val="0"/>
                <w:sz w:val="18"/>
                <w:szCs w:val="18"/>
                <w:u w:val="none"/>
                <w:lang w:val="en-US" w:eastAsia="zh-CN" w:bidi="ar"/>
              </w:rPr>
            </w:pPr>
            <w:r>
              <w:rPr>
                <w:rFonts w:hint="eastAsia" w:ascii="仿宋" w:hAnsi="仿宋" w:eastAsia="仿宋" w:cs="仿宋"/>
                <w:i w:val="0"/>
                <w:iCs w:val="0"/>
                <w:color w:val="000000"/>
                <w:kern w:val="0"/>
                <w:sz w:val="18"/>
                <w:szCs w:val="18"/>
                <w:u w:val="none"/>
                <w:lang w:val="en-US" w:eastAsia="zh-CN" w:bidi="ar"/>
              </w:rPr>
              <w:t>艺术表演场馆</w:t>
            </w:r>
          </w:p>
        </w:tc>
        <w:tc>
          <w:tcPr>
            <w:tcW w:w="915" w:type="dxa"/>
            <w:vAlign w:val="center"/>
          </w:tcPr>
          <w:p>
            <w:pPr>
              <w:jc w:val="center"/>
              <w:rPr>
                <w:rFonts w:hint="eastAsia" w:ascii="仿宋" w:hAnsi="仿宋" w:eastAsia="仿宋" w:cs="仿宋"/>
                <w:b/>
                <w:bCs/>
                <w:sz w:val="18"/>
                <w:szCs w:val="18"/>
                <w:vertAlign w:val="baseline"/>
                <w:lang w:val="en-US" w:eastAsia="zh-CN"/>
              </w:rPr>
            </w:pPr>
          </w:p>
        </w:tc>
      </w:tr>
    </w:tbl>
    <w:p>
      <w:pPr>
        <w:rPr>
          <w:rFonts w:hint="eastAsia" w:ascii="仿宋" w:hAnsi="仿宋" w:eastAsia="仿宋" w:cs="仿宋"/>
          <w:sz w:val="32"/>
          <w:szCs w:val="40"/>
          <w:lang w:val="en-US" w:eastAsia="zh-CN"/>
        </w:rPr>
        <w:sectPr>
          <w:pgSz w:w="16838" w:h="11906" w:orient="landscape"/>
          <w:pgMar w:top="1800" w:right="1440" w:bottom="1800" w:left="1440" w:header="851" w:footer="992" w:gutter="0"/>
          <w:pgNumType w:fmt="decimal"/>
          <w:cols w:space="425" w:num="1"/>
          <w:docGrid w:type="lines" w:linePitch="312" w:charSpace="0"/>
        </w:sectPr>
      </w:pPr>
    </w:p>
    <w:p>
      <w:pPr>
        <w:adjustRightInd w:val="0"/>
        <w:snapToGrid w:val="0"/>
        <w:spacing w:line="360" w:lineRule="auto"/>
        <w:ind w:firstLine="640" w:firstLineChars="200"/>
        <w:outlineLvl w:val="1"/>
        <w:rPr>
          <w:rFonts w:hint="eastAsia" w:ascii="黑体" w:hAnsi="黑体" w:eastAsia="黑体" w:cs="黑体"/>
          <w:bCs/>
          <w:kern w:val="44"/>
          <w:sz w:val="32"/>
          <w:szCs w:val="44"/>
          <w:lang w:val="en-US" w:eastAsia="zh-CN"/>
        </w:rPr>
      </w:pPr>
      <w:bookmarkStart w:id="98" w:name="_Toc1321"/>
      <w:r>
        <w:rPr>
          <w:rFonts w:hint="eastAsia" w:ascii="黑体" w:hAnsi="黑体" w:eastAsia="黑体" w:cs="黑体"/>
          <w:bCs/>
          <w:kern w:val="44"/>
          <w:sz w:val="32"/>
          <w:szCs w:val="44"/>
          <w:lang w:val="en-US" w:eastAsia="zh-CN"/>
        </w:rPr>
        <w:t>附件10专家评审意见</w:t>
      </w:r>
      <w:bookmarkEnd w:id="98"/>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pPr>
      <w:r>
        <w:drawing>
          <wp:inline distT="0" distB="0" distL="114300" distR="114300">
            <wp:extent cx="5218430" cy="7807325"/>
            <wp:effectExtent l="0" t="0" r="889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218430" cy="7807325"/>
                    </a:xfrm>
                    <a:prstGeom prst="rect">
                      <a:avLst/>
                    </a:prstGeom>
                    <a:noFill/>
                    <a:ln>
                      <a:noFill/>
                    </a:ln>
                  </pic:spPr>
                </pic:pic>
              </a:graphicData>
            </a:graphic>
          </wp:inline>
        </w:drawing>
      </w:r>
    </w:p>
    <w:p>
      <w:r>
        <w:br w:type="page"/>
      </w:r>
    </w:p>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lang w:val="en-US" w:eastAsia="zh-CN"/>
        </w:rPr>
      </w:pPr>
      <w:r>
        <w:drawing>
          <wp:inline distT="0" distB="0" distL="114300" distR="114300">
            <wp:extent cx="5589270" cy="8224520"/>
            <wp:effectExtent l="0" t="0" r="3810"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589270" cy="8224520"/>
                    </a:xfrm>
                    <a:prstGeom prst="rect">
                      <a:avLst/>
                    </a:prstGeom>
                    <a:noFill/>
                    <a:ln>
                      <a:noFill/>
                    </a:ln>
                  </pic:spPr>
                </pic:pic>
              </a:graphicData>
            </a:graphic>
          </wp:inline>
        </w:drawing>
      </w:r>
    </w:p>
    <w:p>
      <w:pPr>
        <w:rPr>
          <w:rFonts w:ascii="仿宋" w:hAnsi="仿宋" w:eastAsia="仿宋" w:cs="仿宋"/>
          <w:sz w:val="32"/>
          <w:szCs w:val="22"/>
          <w:lang w:bidi="ar"/>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38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2A8BA3"/>
    <w:multiLevelType w:val="singleLevel"/>
    <w:tmpl w:val="902A8BA3"/>
    <w:lvl w:ilvl="0" w:tentative="0">
      <w:start w:val="1"/>
      <w:numFmt w:val="decimal"/>
      <w:lvlText w:val="%1."/>
      <w:lvlJc w:val="left"/>
      <w:pPr>
        <w:ind w:left="845" w:hanging="425"/>
      </w:pPr>
      <w:rPr>
        <w:rFonts w:hint="default"/>
      </w:rPr>
    </w:lvl>
  </w:abstractNum>
  <w:abstractNum w:abstractNumId="1">
    <w:nsid w:val="3BBA6AD8"/>
    <w:multiLevelType w:val="singleLevel"/>
    <w:tmpl w:val="3BBA6AD8"/>
    <w:lvl w:ilvl="0" w:tentative="0">
      <w:start w:val="1"/>
      <w:numFmt w:val="decimal"/>
      <w:lvlText w:val="%1."/>
      <w:lvlJc w:val="left"/>
      <w:pPr>
        <w:ind w:left="845" w:hanging="425"/>
      </w:pPr>
      <w:rPr>
        <w:rFonts w:hint="default"/>
      </w:rPr>
    </w:lvl>
  </w:abstractNum>
  <w:abstractNum w:abstractNumId="2">
    <w:nsid w:val="5EE6F8E2"/>
    <w:multiLevelType w:val="singleLevel"/>
    <w:tmpl w:val="5EE6F8E2"/>
    <w:lvl w:ilvl="0" w:tentative="0">
      <w:start w:val="1"/>
      <w:numFmt w:val="decimal"/>
      <w:suff w:val="nothing"/>
      <w:lvlText w:val="（%1）"/>
      <w:lvlJc w:val="left"/>
      <w:pPr>
        <w:ind w:left="-15"/>
      </w:pPr>
    </w:lvl>
  </w:abstractNum>
  <w:abstractNum w:abstractNumId="3">
    <w:nsid w:val="6D993296"/>
    <w:multiLevelType w:val="singleLevel"/>
    <w:tmpl w:val="6D993296"/>
    <w:lvl w:ilvl="0" w:tentative="0">
      <w:start w:val="1"/>
      <w:numFmt w:val="decimal"/>
      <w:lvlText w:val="%1"/>
      <w:lvlJc w:val="left"/>
      <w:pPr>
        <w:tabs>
          <w:tab w:val="left" w:pos="420"/>
        </w:tabs>
        <w:ind w:left="635" w:leftChars="0" w:hanging="425" w:firstLineChars="0"/>
      </w:pPr>
      <w:rPr>
        <w:rFont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Q5OTIxZjY2YjYzY2UzMWE0MGM3NzM4OTU5NzQzZDAifQ=="/>
  </w:docVars>
  <w:rsids>
    <w:rsidRoot w:val="0B4C2FF2"/>
    <w:rsid w:val="0004314C"/>
    <w:rsid w:val="00043534"/>
    <w:rsid w:val="000634D5"/>
    <w:rsid w:val="000B7C4F"/>
    <w:rsid w:val="000C443D"/>
    <w:rsid w:val="001251B5"/>
    <w:rsid w:val="001825C7"/>
    <w:rsid w:val="00366BCF"/>
    <w:rsid w:val="0043146B"/>
    <w:rsid w:val="004920C0"/>
    <w:rsid w:val="00556641"/>
    <w:rsid w:val="006C21E0"/>
    <w:rsid w:val="00773CC7"/>
    <w:rsid w:val="00834C41"/>
    <w:rsid w:val="0087059D"/>
    <w:rsid w:val="00891ACF"/>
    <w:rsid w:val="00954DBB"/>
    <w:rsid w:val="00A1745D"/>
    <w:rsid w:val="00A93B8B"/>
    <w:rsid w:val="00B94DAE"/>
    <w:rsid w:val="00BF0539"/>
    <w:rsid w:val="00C714BD"/>
    <w:rsid w:val="00CA208B"/>
    <w:rsid w:val="00D61093"/>
    <w:rsid w:val="00E9595F"/>
    <w:rsid w:val="00FE3DED"/>
    <w:rsid w:val="0145454D"/>
    <w:rsid w:val="0188436E"/>
    <w:rsid w:val="018B3ED2"/>
    <w:rsid w:val="019B5C7E"/>
    <w:rsid w:val="01BC5099"/>
    <w:rsid w:val="020B07BA"/>
    <w:rsid w:val="024F1F54"/>
    <w:rsid w:val="027A54C3"/>
    <w:rsid w:val="03217DAE"/>
    <w:rsid w:val="03364890"/>
    <w:rsid w:val="03936CB9"/>
    <w:rsid w:val="04845126"/>
    <w:rsid w:val="049D5915"/>
    <w:rsid w:val="04CE0055"/>
    <w:rsid w:val="04E672BC"/>
    <w:rsid w:val="05893992"/>
    <w:rsid w:val="058A24D4"/>
    <w:rsid w:val="066A1C6E"/>
    <w:rsid w:val="07351559"/>
    <w:rsid w:val="07A23BA4"/>
    <w:rsid w:val="08B740FB"/>
    <w:rsid w:val="08E6416C"/>
    <w:rsid w:val="09887187"/>
    <w:rsid w:val="09890431"/>
    <w:rsid w:val="0A01241A"/>
    <w:rsid w:val="0A7A0CD6"/>
    <w:rsid w:val="0B4C2FF2"/>
    <w:rsid w:val="0B927DC5"/>
    <w:rsid w:val="0BD46535"/>
    <w:rsid w:val="0C2B528C"/>
    <w:rsid w:val="0D213C9E"/>
    <w:rsid w:val="0D464D9C"/>
    <w:rsid w:val="0D5F19BA"/>
    <w:rsid w:val="0D754699"/>
    <w:rsid w:val="0DC83557"/>
    <w:rsid w:val="0E1B004D"/>
    <w:rsid w:val="0E341099"/>
    <w:rsid w:val="0F6A15AD"/>
    <w:rsid w:val="0FE3622D"/>
    <w:rsid w:val="0FE819E9"/>
    <w:rsid w:val="101C1B9A"/>
    <w:rsid w:val="10FE4D25"/>
    <w:rsid w:val="111927C8"/>
    <w:rsid w:val="11E62737"/>
    <w:rsid w:val="123A4B72"/>
    <w:rsid w:val="12763E42"/>
    <w:rsid w:val="12FC4AC9"/>
    <w:rsid w:val="133D09EF"/>
    <w:rsid w:val="138E4DA7"/>
    <w:rsid w:val="13EF6E36"/>
    <w:rsid w:val="13F602E8"/>
    <w:rsid w:val="157201AB"/>
    <w:rsid w:val="15CC605B"/>
    <w:rsid w:val="16D650DD"/>
    <w:rsid w:val="17705349"/>
    <w:rsid w:val="17FB343B"/>
    <w:rsid w:val="18565695"/>
    <w:rsid w:val="187B79AB"/>
    <w:rsid w:val="18FB3356"/>
    <w:rsid w:val="195E521C"/>
    <w:rsid w:val="19632832"/>
    <w:rsid w:val="19DB686C"/>
    <w:rsid w:val="19F06D53"/>
    <w:rsid w:val="1B6D5E2E"/>
    <w:rsid w:val="1B770817"/>
    <w:rsid w:val="1BCF4847"/>
    <w:rsid w:val="1C0025BA"/>
    <w:rsid w:val="1C504E2A"/>
    <w:rsid w:val="1C6D4208"/>
    <w:rsid w:val="1C9B5351"/>
    <w:rsid w:val="1CFB21F8"/>
    <w:rsid w:val="1D296FEB"/>
    <w:rsid w:val="1D3A7D4E"/>
    <w:rsid w:val="1DBF7C15"/>
    <w:rsid w:val="1DF52E6E"/>
    <w:rsid w:val="1E9116BB"/>
    <w:rsid w:val="1EA77665"/>
    <w:rsid w:val="1EB74A61"/>
    <w:rsid w:val="1EE7180F"/>
    <w:rsid w:val="1F4B6242"/>
    <w:rsid w:val="1F4E6804"/>
    <w:rsid w:val="1F5F38AB"/>
    <w:rsid w:val="1FA671BB"/>
    <w:rsid w:val="1FC009DE"/>
    <w:rsid w:val="1FC87EA5"/>
    <w:rsid w:val="205729C5"/>
    <w:rsid w:val="206C63BE"/>
    <w:rsid w:val="206E043A"/>
    <w:rsid w:val="20781B6F"/>
    <w:rsid w:val="20D16F97"/>
    <w:rsid w:val="20D8072F"/>
    <w:rsid w:val="20D80E64"/>
    <w:rsid w:val="210406C9"/>
    <w:rsid w:val="211663DC"/>
    <w:rsid w:val="21173B26"/>
    <w:rsid w:val="21180376"/>
    <w:rsid w:val="219A700D"/>
    <w:rsid w:val="219D5F77"/>
    <w:rsid w:val="22772E27"/>
    <w:rsid w:val="22DD7D50"/>
    <w:rsid w:val="24296BFB"/>
    <w:rsid w:val="245711E5"/>
    <w:rsid w:val="247B1689"/>
    <w:rsid w:val="24E44663"/>
    <w:rsid w:val="25BC7C7A"/>
    <w:rsid w:val="261E4159"/>
    <w:rsid w:val="26465805"/>
    <w:rsid w:val="26775B6F"/>
    <w:rsid w:val="269B6790"/>
    <w:rsid w:val="27653C19"/>
    <w:rsid w:val="27786F67"/>
    <w:rsid w:val="27E15DF0"/>
    <w:rsid w:val="28AA1234"/>
    <w:rsid w:val="28C80ECA"/>
    <w:rsid w:val="293D7328"/>
    <w:rsid w:val="29616F9E"/>
    <w:rsid w:val="296D5007"/>
    <w:rsid w:val="29B9024C"/>
    <w:rsid w:val="2A506E02"/>
    <w:rsid w:val="2A5F0DF4"/>
    <w:rsid w:val="2AA07F73"/>
    <w:rsid w:val="2C8364DB"/>
    <w:rsid w:val="2C956D4E"/>
    <w:rsid w:val="2CFE22BA"/>
    <w:rsid w:val="2D105371"/>
    <w:rsid w:val="2D255F0D"/>
    <w:rsid w:val="2D46629B"/>
    <w:rsid w:val="2D491DA8"/>
    <w:rsid w:val="2DAD40CE"/>
    <w:rsid w:val="2DD66E89"/>
    <w:rsid w:val="2EC1114F"/>
    <w:rsid w:val="2ED95A57"/>
    <w:rsid w:val="2FE11985"/>
    <w:rsid w:val="306405FB"/>
    <w:rsid w:val="3230526B"/>
    <w:rsid w:val="32B45A53"/>
    <w:rsid w:val="32C72338"/>
    <w:rsid w:val="32EB26DA"/>
    <w:rsid w:val="32FD2571"/>
    <w:rsid w:val="33260700"/>
    <w:rsid w:val="335C2374"/>
    <w:rsid w:val="336F6F2E"/>
    <w:rsid w:val="33E5680D"/>
    <w:rsid w:val="34524676"/>
    <w:rsid w:val="346A76B8"/>
    <w:rsid w:val="36101D54"/>
    <w:rsid w:val="36261281"/>
    <w:rsid w:val="36851C88"/>
    <w:rsid w:val="36B9188B"/>
    <w:rsid w:val="36FE724B"/>
    <w:rsid w:val="37B00912"/>
    <w:rsid w:val="37F47BF8"/>
    <w:rsid w:val="380B25BB"/>
    <w:rsid w:val="385D5C4D"/>
    <w:rsid w:val="389A134D"/>
    <w:rsid w:val="390F1C37"/>
    <w:rsid w:val="39222FC8"/>
    <w:rsid w:val="396401D4"/>
    <w:rsid w:val="396F35DE"/>
    <w:rsid w:val="397B107A"/>
    <w:rsid w:val="3A9D66C5"/>
    <w:rsid w:val="3B9050C7"/>
    <w:rsid w:val="3BC477F6"/>
    <w:rsid w:val="3C447E49"/>
    <w:rsid w:val="3C876F34"/>
    <w:rsid w:val="3CEA7106"/>
    <w:rsid w:val="3D3943AE"/>
    <w:rsid w:val="3D4E0248"/>
    <w:rsid w:val="3D6C7B5F"/>
    <w:rsid w:val="3DAE38A3"/>
    <w:rsid w:val="3DC5005E"/>
    <w:rsid w:val="3E44570E"/>
    <w:rsid w:val="3E8912B2"/>
    <w:rsid w:val="3E9E1A93"/>
    <w:rsid w:val="3F232114"/>
    <w:rsid w:val="3F3F50EF"/>
    <w:rsid w:val="3F412984"/>
    <w:rsid w:val="3FB45FC3"/>
    <w:rsid w:val="3FCD61EB"/>
    <w:rsid w:val="40210BCD"/>
    <w:rsid w:val="40A60CBC"/>
    <w:rsid w:val="41953714"/>
    <w:rsid w:val="41EC5C64"/>
    <w:rsid w:val="427B5AAE"/>
    <w:rsid w:val="42AA6604"/>
    <w:rsid w:val="4343648F"/>
    <w:rsid w:val="43983EEC"/>
    <w:rsid w:val="43AE09CA"/>
    <w:rsid w:val="43F129E8"/>
    <w:rsid w:val="444263B2"/>
    <w:rsid w:val="448B4867"/>
    <w:rsid w:val="44D43F2D"/>
    <w:rsid w:val="44EA332C"/>
    <w:rsid w:val="45A2222A"/>
    <w:rsid w:val="45E5409E"/>
    <w:rsid w:val="45FE550D"/>
    <w:rsid w:val="4623313C"/>
    <w:rsid w:val="462E6545"/>
    <w:rsid w:val="4645232A"/>
    <w:rsid w:val="4645313C"/>
    <w:rsid w:val="46AA6C45"/>
    <w:rsid w:val="47DE5EE3"/>
    <w:rsid w:val="485E0354"/>
    <w:rsid w:val="48707353"/>
    <w:rsid w:val="48902DB2"/>
    <w:rsid w:val="489E15AC"/>
    <w:rsid w:val="48A42047"/>
    <w:rsid w:val="48BB3DE9"/>
    <w:rsid w:val="49396AA4"/>
    <w:rsid w:val="494E5F32"/>
    <w:rsid w:val="499661B6"/>
    <w:rsid w:val="49A502A4"/>
    <w:rsid w:val="49B3654B"/>
    <w:rsid w:val="49EA0595"/>
    <w:rsid w:val="4A266DE0"/>
    <w:rsid w:val="4B6B5878"/>
    <w:rsid w:val="4B9479FA"/>
    <w:rsid w:val="4BC74904"/>
    <w:rsid w:val="4D275349"/>
    <w:rsid w:val="4D4C5F59"/>
    <w:rsid w:val="4D80140D"/>
    <w:rsid w:val="4D8D39BB"/>
    <w:rsid w:val="4DCD7C9F"/>
    <w:rsid w:val="4E6A39DB"/>
    <w:rsid w:val="4E7A12F2"/>
    <w:rsid w:val="4EA60703"/>
    <w:rsid w:val="4F146B3B"/>
    <w:rsid w:val="4F2C5DC7"/>
    <w:rsid w:val="4F2D5BB5"/>
    <w:rsid w:val="4F8B1BBF"/>
    <w:rsid w:val="4FD83BA4"/>
    <w:rsid w:val="500B0B81"/>
    <w:rsid w:val="511659AA"/>
    <w:rsid w:val="511965CE"/>
    <w:rsid w:val="51AB366E"/>
    <w:rsid w:val="52426781"/>
    <w:rsid w:val="52D01FDF"/>
    <w:rsid w:val="52F912BE"/>
    <w:rsid w:val="53282194"/>
    <w:rsid w:val="534612FF"/>
    <w:rsid w:val="53CC4098"/>
    <w:rsid w:val="53D92FDD"/>
    <w:rsid w:val="542D33A9"/>
    <w:rsid w:val="54CA720F"/>
    <w:rsid w:val="54D5778B"/>
    <w:rsid w:val="54ED71A0"/>
    <w:rsid w:val="5515647B"/>
    <w:rsid w:val="554827C6"/>
    <w:rsid w:val="55775657"/>
    <w:rsid w:val="55A439DB"/>
    <w:rsid w:val="565D002E"/>
    <w:rsid w:val="567E035F"/>
    <w:rsid w:val="5763281A"/>
    <w:rsid w:val="57776164"/>
    <w:rsid w:val="57936C2E"/>
    <w:rsid w:val="580A1AEF"/>
    <w:rsid w:val="582140B8"/>
    <w:rsid w:val="5847689F"/>
    <w:rsid w:val="584E5E80"/>
    <w:rsid w:val="586E702A"/>
    <w:rsid w:val="589F7875"/>
    <w:rsid w:val="58ED5699"/>
    <w:rsid w:val="58EE0969"/>
    <w:rsid w:val="595558E7"/>
    <w:rsid w:val="597004AF"/>
    <w:rsid w:val="59913375"/>
    <w:rsid w:val="5A3A1E77"/>
    <w:rsid w:val="5A4532B2"/>
    <w:rsid w:val="5A6000EC"/>
    <w:rsid w:val="5ADC2F5C"/>
    <w:rsid w:val="5B0951AC"/>
    <w:rsid w:val="5B345360"/>
    <w:rsid w:val="5B867558"/>
    <w:rsid w:val="5B90452D"/>
    <w:rsid w:val="5BC833A3"/>
    <w:rsid w:val="5BE061AD"/>
    <w:rsid w:val="5C2D63CD"/>
    <w:rsid w:val="5C9060A0"/>
    <w:rsid w:val="5CCD1B1F"/>
    <w:rsid w:val="5CCD77A3"/>
    <w:rsid w:val="5CDD6F6D"/>
    <w:rsid w:val="5D504F6B"/>
    <w:rsid w:val="5DC170F4"/>
    <w:rsid w:val="5DC31EA7"/>
    <w:rsid w:val="5DE0320B"/>
    <w:rsid w:val="5DE55271"/>
    <w:rsid w:val="5E820631"/>
    <w:rsid w:val="5EB10342"/>
    <w:rsid w:val="5EC74CE5"/>
    <w:rsid w:val="5ECC3FA2"/>
    <w:rsid w:val="5F264979"/>
    <w:rsid w:val="5F5E4F32"/>
    <w:rsid w:val="5FA81BBF"/>
    <w:rsid w:val="5FB65DED"/>
    <w:rsid w:val="5FDB492B"/>
    <w:rsid w:val="60326087"/>
    <w:rsid w:val="60F46E8B"/>
    <w:rsid w:val="61355E2F"/>
    <w:rsid w:val="615722E4"/>
    <w:rsid w:val="617E3735"/>
    <w:rsid w:val="619D5782"/>
    <w:rsid w:val="623E21B8"/>
    <w:rsid w:val="62562BED"/>
    <w:rsid w:val="62C93A9B"/>
    <w:rsid w:val="62DF1358"/>
    <w:rsid w:val="62F63DC5"/>
    <w:rsid w:val="630E0A96"/>
    <w:rsid w:val="63234EC1"/>
    <w:rsid w:val="63957417"/>
    <w:rsid w:val="63C52FF0"/>
    <w:rsid w:val="645E38EF"/>
    <w:rsid w:val="646D3B32"/>
    <w:rsid w:val="64982ABE"/>
    <w:rsid w:val="65240694"/>
    <w:rsid w:val="6583002F"/>
    <w:rsid w:val="659B5B16"/>
    <w:rsid w:val="660A2D6A"/>
    <w:rsid w:val="66441093"/>
    <w:rsid w:val="6698089F"/>
    <w:rsid w:val="669A2D91"/>
    <w:rsid w:val="66AA45C4"/>
    <w:rsid w:val="66C7643C"/>
    <w:rsid w:val="66DF1970"/>
    <w:rsid w:val="673821D5"/>
    <w:rsid w:val="67584F5F"/>
    <w:rsid w:val="67787D50"/>
    <w:rsid w:val="67AE06E9"/>
    <w:rsid w:val="67C5088E"/>
    <w:rsid w:val="68161348"/>
    <w:rsid w:val="68170135"/>
    <w:rsid w:val="683C3996"/>
    <w:rsid w:val="685E210F"/>
    <w:rsid w:val="6863312F"/>
    <w:rsid w:val="68667859"/>
    <w:rsid w:val="6878381E"/>
    <w:rsid w:val="68E440F1"/>
    <w:rsid w:val="691722BE"/>
    <w:rsid w:val="692C3FBB"/>
    <w:rsid w:val="692C4339"/>
    <w:rsid w:val="695217D6"/>
    <w:rsid w:val="69F75520"/>
    <w:rsid w:val="6A270326"/>
    <w:rsid w:val="6A2B030A"/>
    <w:rsid w:val="6A2B6264"/>
    <w:rsid w:val="6AA57E91"/>
    <w:rsid w:val="6ABE50E7"/>
    <w:rsid w:val="6ADD66D1"/>
    <w:rsid w:val="6B715FBF"/>
    <w:rsid w:val="6B741584"/>
    <w:rsid w:val="6B7D7F61"/>
    <w:rsid w:val="6C7A510E"/>
    <w:rsid w:val="6CAB3449"/>
    <w:rsid w:val="6CF05300"/>
    <w:rsid w:val="6D142D9C"/>
    <w:rsid w:val="6E0C6169"/>
    <w:rsid w:val="6E1910A3"/>
    <w:rsid w:val="6E535B46"/>
    <w:rsid w:val="6E812104"/>
    <w:rsid w:val="6F2261F6"/>
    <w:rsid w:val="6F40631D"/>
    <w:rsid w:val="6F753F23"/>
    <w:rsid w:val="6FB24BA7"/>
    <w:rsid w:val="6FF627E0"/>
    <w:rsid w:val="70084564"/>
    <w:rsid w:val="701D28B0"/>
    <w:rsid w:val="706A57A2"/>
    <w:rsid w:val="719D0197"/>
    <w:rsid w:val="719F6961"/>
    <w:rsid w:val="72231CD3"/>
    <w:rsid w:val="723318B0"/>
    <w:rsid w:val="72633D95"/>
    <w:rsid w:val="72895FDA"/>
    <w:rsid w:val="72EE655A"/>
    <w:rsid w:val="7336261C"/>
    <w:rsid w:val="73E36B9A"/>
    <w:rsid w:val="73F964A5"/>
    <w:rsid w:val="740F0B7A"/>
    <w:rsid w:val="74CD285C"/>
    <w:rsid w:val="7507768A"/>
    <w:rsid w:val="751F7AAE"/>
    <w:rsid w:val="752F25AD"/>
    <w:rsid w:val="75CC6A04"/>
    <w:rsid w:val="75F61BD9"/>
    <w:rsid w:val="76035546"/>
    <w:rsid w:val="763A430C"/>
    <w:rsid w:val="76C22AA5"/>
    <w:rsid w:val="76EB0873"/>
    <w:rsid w:val="780954C8"/>
    <w:rsid w:val="78E63FD7"/>
    <w:rsid w:val="78E75809"/>
    <w:rsid w:val="792F4A01"/>
    <w:rsid w:val="799241BD"/>
    <w:rsid w:val="79B73493"/>
    <w:rsid w:val="79F45805"/>
    <w:rsid w:val="7A432F13"/>
    <w:rsid w:val="7A49706D"/>
    <w:rsid w:val="7AF67F85"/>
    <w:rsid w:val="7B364EC9"/>
    <w:rsid w:val="7B643288"/>
    <w:rsid w:val="7B8D2627"/>
    <w:rsid w:val="7BAF6228"/>
    <w:rsid w:val="7BBD017E"/>
    <w:rsid w:val="7C2E7DCC"/>
    <w:rsid w:val="7C621E3D"/>
    <w:rsid w:val="7CE64029"/>
    <w:rsid w:val="7D2355B1"/>
    <w:rsid w:val="7D6A07B6"/>
    <w:rsid w:val="7D6E42DA"/>
    <w:rsid w:val="7DDF3B93"/>
    <w:rsid w:val="7DF22934"/>
    <w:rsid w:val="7E8E6727"/>
    <w:rsid w:val="7E965F0A"/>
    <w:rsid w:val="7FB95653"/>
    <w:rsid w:val="7FE640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rFonts w:ascii="黑体" w:eastAsia="黑体"/>
      <w:bCs/>
      <w:kern w:val="44"/>
      <w:sz w:val="32"/>
      <w:szCs w:val="44"/>
    </w:rPr>
  </w:style>
  <w:style w:type="paragraph" w:styleId="3">
    <w:name w:val="heading 2"/>
    <w:basedOn w:val="1"/>
    <w:next w:val="1"/>
    <w:qFormat/>
    <w:uiPriority w:val="99"/>
    <w:pPr>
      <w:keepNext/>
      <w:keepLines/>
      <w:spacing w:before="260" w:after="260" w:line="416" w:lineRule="auto"/>
      <w:outlineLvl w:val="1"/>
    </w:pPr>
    <w:rPr>
      <w:rFonts w:ascii="Cambria" w:hAnsi="Cambria" w:eastAsia="宋体"/>
      <w:b/>
      <w:bCs/>
      <w:szCs w:val="32"/>
    </w:rPr>
  </w:style>
  <w:style w:type="paragraph" w:styleId="4">
    <w:name w:val="heading 3"/>
    <w:basedOn w:val="1"/>
    <w:next w:val="1"/>
    <w:qFormat/>
    <w:uiPriority w:val="99"/>
    <w:pPr>
      <w:keepNext/>
      <w:keepLines/>
      <w:spacing w:before="260" w:after="260" w:line="416" w:lineRule="auto"/>
      <w:outlineLvl w:val="2"/>
    </w:pPr>
    <w:rPr>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style>
  <w:style w:type="paragraph" w:styleId="6">
    <w:name w:val="annotation text"/>
    <w:basedOn w:val="1"/>
    <w:link w:val="24"/>
    <w:qFormat/>
    <w:uiPriority w:val="0"/>
    <w:pPr>
      <w:jc w:val="left"/>
    </w:pPr>
  </w:style>
  <w:style w:type="paragraph" w:styleId="7">
    <w:name w:val="Body Text"/>
    <w:basedOn w:val="1"/>
    <w:next w:val="1"/>
    <w:qFormat/>
    <w:uiPriority w:val="1"/>
    <w:rPr>
      <w:rFonts w:ascii="仿宋" w:hAnsi="仿宋" w:eastAsia="仿宋" w:cs="仿宋"/>
      <w:sz w:val="32"/>
      <w:szCs w:val="32"/>
      <w:lang w:val="zh-CN" w:bidi="zh-CN"/>
    </w:rPr>
  </w:style>
  <w:style w:type="paragraph" w:styleId="8">
    <w:name w:val="endnote text"/>
    <w:basedOn w:val="1"/>
    <w:qFormat/>
    <w:uiPriority w:val="0"/>
    <w:pPr>
      <w:snapToGrid w:val="0"/>
      <w:jc w:val="left"/>
    </w:pPr>
  </w:style>
  <w:style w:type="paragraph" w:styleId="9">
    <w:name w:val="Balloon Text"/>
    <w:basedOn w:val="1"/>
    <w:link w:val="23"/>
    <w:qFormat/>
    <w:uiPriority w:val="0"/>
    <w:rPr>
      <w:sz w:val="18"/>
      <w:szCs w:val="18"/>
    </w:rPr>
  </w:style>
  <w:style w:type="paragraph" w:styleId="10">
    <w:name w:val="footer"/>
    <w:basedOn w:val="1"/>
    <w:qFormat/>
    <w:uiPriority w:val="99"/>
    <w:pPr>
      <w:tabs>
        <w:tab w:val="center" w:pos="4153"/>
        <w:tab w:val="right" w:pos="8306"/>
      </w:tabs>
      <w:snapToGrid w:val="0"/>
    </w:pPr>
    <w:rPr>
      <w:rFonts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annotation subject"/>
    <w:basedOn w:val="6"/>
    <w:next w:val="6"/>
    <w:link w:val="25"/>
    <w:qFormat/>
    <w:uiPriority w:val="0"/>
    <w:rPr>
      <w:b/>
      <w:bCs/>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endnote reference"/>
    <w:basedOn w:val="18"/>
    <w:qFormat/>
    <w:uiPriority w:val="0"/>
    <w:rPr>
      <w:vertAlign w:val="superscript"/>
    </w:rPr>
  </w:style>
  <w:style w:type="character" w:styleId="20">
    <w:name w:val="annotation reference"/>
    <w:basedOn w:val="18"/>
    <w:qFormat/>
    <w:uiPriority w:val="0"/>
    <w:rPr>
      <w:sz w:val="21"/>
      <w:szCs w:val="21"/>
    </w:rPr>
  </w:style>
  <w:style w:type="paragraph" w:customStyle="1" w:styleId="21">
    <w:name w:val="WPSOffice手动目录 1"/>
    <w:qFormat/>
    <w:uiPriority w:val="0"/>
    <w:rPr>
      <w:rFonts w:ascii="Times New Roman" w:hAnsi="Times New Roman" w:eastAsia="宋体" w:cs="Times New Roman"/>
      <w:lang w:val="en-US" w:eastAsia="zh-CN" w:bidi="ar-SA"/>
    </w:rPr>
  </w:style>
  <w:style w:type="paragraph" w:customStyle="1" w:styleId="2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3">
    <w:name w:val="批注框文本 字符"/>
    <w:basedOn w:val="18"/>
    <w:link w:val="9"/>
    <w:qFormat/>
    <w:uiPriority w:val="0"/>
    <w:rPr>
      <w:rFonts w:asciiTheme="minorHAnsi" w:hAnsiTheme="minorHAnsi" w:eastAsiaTheme="minorEastAsia" w:cstheme="minorBidi"/>
      <w:kern w:val="2"/>
      <w:sz w:val="18"/>
      <w:szCs w:val="18"/>
    </w:rPr>
  </w:style>
  <w:style w:type="character" w:customStyle="1" w:styleId="24">
    <w:name w:val="批注文字 字符"/>
    <w:basedOn w:val="18"/>
    <w:link w:val="6"/>
    <w:qFormat/>
    <w:uiPriority w:val="0"/>
    <w:rPr>
      <w:rFonts w:asciiTheme="minorHAnsi" w:hAnsiTheme="minorHAnsi" w:eastAsiaTheme="minorEastAsia" w:cstheme="minorBidi"/>
      <w:kern w:val="2"/>
      <w:sz w:val="21"/>
      <w:szCs w:val="24"/>
    </w:rPr>
  </w:style>
  <w:style w:type="character" w:customStyle="1" w:styleId="25">
    <w:name w:val="批注主题 字符"/>
    <w:basedOn w:val="24"/>
    <w:link w:val="15"/>
    <w:qFormat/>
    <w:uiPriority w:val="0"/>
    <w:rPr>
      <w:rFonts w:asciiTheme="minorHAnsi" w:hAnsiTheme="minorHAnsi" w:eastAsiaTheme="minorEastAsia" w:cstheme="minorBidi"/>
      <w:b/>
      <w:bCs/>
      <w:kern w:val="2"/>
      <w:sz w:val="21"/>
      <w:szCs w:val="24"/>
    </w:rPr>
  </w:style>
  <w:style w:type="paragraph" w:customStyle="1" w:styleId="26">
    <w:name w:val="Revision"/>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27">
    <w:name w:val="font01"/>
    <w:basedOn w:val="1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93FB28-2EC6-410F-9464-1F02890D740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19569</Words>
  <Characters>21954</Characters>
  <Lines>155</Lines>
  <Paragraphs>43</Paragraphs>
  <TotalTime>4</TotalTime>
  <ScaleCrop>false</ScaleCrop>
  <LinksUpToDate>false</LinksUpToDate>
  <CharactersWithSpaces>22315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2022-08-02T09:17:00Z</dcterms:created>
  <dc:creator>王晓峰</dc:creator>
  <cp:lastModifiedBy>Administrator</cp:lastModifiedBy>
  <cp:lastPrinted>2022-03-21T09:07:00Z</cp:lastPrinted>
  <dcterms:modified xsi:type="dcterms:W3CDTF">2023-03-07T07:14:09Z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BFF3CA2F55EC453F81C2E2DE6648C41E</vt:lpwstr>
  </property>
</Properties>
</file>