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val="0"/>
        <w:snapToGrid w:val="0"/>
        <w:spacing w:line="360" w:lineRule="auto"/>
        <w:textAlignment w:val="auto"/>
      </w:pPr>
    </w:p>
    <w:p>
      <w:pPr>
        <w:pageBreakBefore w:val="0"/>
        <w:widowControl w:val="0"/>
        <w:kinsoku/>
        <w:wordWrap/>
        <w:overflowPunct/>
        <w:topLinePunct w:val="0"/>
        <w:autoSpaceDE/>
        <w:autoSpaceDN/>
        <w:bidi w:val="0"/>
        <w:adjustRightInd w:val="0"/>
        <w:snapToGrid w:val="0"/>
        <w:spacing w:line="360" w:lineRule="auto"/>
        <w:textAlignment w:val="auto"/>
      </w:pPr>
    </w:p>
    <w:p>
      <w:pPr>
        <w:pageBreakBefore w:val="0"/>
        <w:widowControl w:val="0"/>
        <w:kinsoku/>
        <w:wordWrap/>
        <w:overflowPunct/>
        <w:topLinePunct w:val="0"/>
        <w:autoSpaceDE/>
        <w:autoSpaceDN/>
        <w:bidi w:val="0"/>
        <w:adjustRightInd w:val="0"/>
        <w:snapToGrid w:val="0"/>
        <w:spacing w:line="360" w:lineRule="auto"/>
        <w:textAlignment w:val="auto"/>
      </w:pPr>
    </w:p>
    <w:p>
      <w:pPr>
        <w:pageBreakBefore w:val="0"/>
        <w:widowControl w:val="0"/>
        <w:kinsoku/>
        <w:wordWrap/>
        <w:overflowPunct/>
        <w:topLinePunct w:val="0"/>
        <w:autoSpaceDE/>
        <w:autoSpaceDN/>
        <w:bidi w:val="0"/>
        <w:adjustRightInd w:val="0"/>
        <w:snapToGrid w:val="0"/>
        <w:spacing w:line="360" w:lineRule="auto"/>
        <w:textAlignment w:val="auto"/>
      </w:pPr>
    </w:p>
    <w:p>
      <w:pPr>
        <w:pageBreakBefore w:val="0"/>
        <w:widowControl w:val="0"/>
        <w:kinsoku/>
        <w:wordWrap/>
        <w:overflowPunct/>
        <w:topLinePunct w:val="0"/>
        <w:autoSpaceDE/>
        <w:autoSpaceDN/>
        <w:bidi w:val="0"/>
        <w:adjustRightInd w:val="0"/>
        <w:snapToGrid w:val="0"/>
        <w:spacing w:line="360" w:lineRule="auto"/>
        <w:textAlignment w:val="auto"/>
        <w:rPr>
          <w:sz w:val="48"/>
          <w:szCs w:val="48"/>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8"/>
          <w:szCs w:val="48"/>
        </w:rPr>
      </w:pPr>
      <w:r>
        <w:rPr>
          <w:rFonts w:hint="eastAsia" w:ascii="仿宋" w:hAnsi="仿宋" w:eastAsia="仿宋" w:cs="仿宋"/>
          <w:b/>
          <w:bCs/>
          <w:sz w:val="48"/>
          <w:szCs w:val="48"/>
        </w:rPr>
        <w:t>新城区突发事件总体应急预案</w:t>
      </w: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ascii="方正小标宋简体" w:hAnsi="方正小标宋简体" w:eastAsia="方正小标宋简体" w:cs="方正小标宋简体"/>
          <w:sz w:val="28"/>
          <w:szCs w:val="28"/>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新城区人民政府</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2022年</w:t>
      </w: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月</w:t>
      </w:r>
    </w:p>
    <w:p>
      <w:pPr>
        <w:pageBreakBefore w:val="0"/>
        <w:widowControl w:val="0"/>
        <w:kinsoku/>
        <w:wordWrap/>
        <w:overflowPunct/>
        <w:topLinePunct w:val="0"/>
        <w:autoSpaceDE/>
        <w:autoSpaceDN/>
        <w:bidi w:val="0"/>
        <w:adjustRightInd w:val="0"/>
        <w:snapToGrid w:val="0"/>
        <w:spacing w:line="360" w:lineRule="auto"/>
        <w:jc w:val="center"/>
        <w:textAlignment w:val="auto"/>
        <w:rPr>
          <w:rFonts w:ascii="黑体" w:hAnsi="黑体" w:eastAsia="黑体"/>
          <w:sz w:val="36"/>
        </w:rPr>
      </w:pPr>
    </w:p>
    <w:p>
      <w:pPr>
        <w:pageBreakBefore w:val="0"/>
        <w:widowControl w:val="0"/>
        <w:kinsoku/>
        <w:wordWrap/>
        <w:overflowPunct/>
        <w:topLinePunct w:val="0"/>
        <w:autoSpaceDE/>
        <w:autoSpaceDN/>
        <w:bidi w:val="0"/>
        <w:adjustRightInd w:val="0"/>
        <w:snapToGrid w:val="0"/>
        <w:spacing w:line="360" w:lineRule="auto"/>
        <w:textAlignment w:val="auto"/>
      </w:pPr>
    </w:p>
    <w:p>
      <w:pPr>
        <w:keepNext/>
        <w:keepLines/>
        <w:pageBreakBefore w:val="0"/>
        <w:widowControl w:val="0"/>
        <w:kinsoku/>
        <w:wordWrap/>
        <w:overflowPunct/>
        <w:topLinePunct w:val="0"/>
        <w:autoSpaceDE/>
        <w:autoSpaceDN/>
        <w:bidi w:val="0"/>
        <w:adjustRightInd w:val="0"/>
        <w:snapToGrid w:val="0"/>
        <w:spacing w:line="360" w:lineRule="auto"/>
        <w:jc w:val="center"/>
        <w:textAlignment w:val="auto"/>
        <w:rPr>
          <w:b/>
          <w:bCs/>
        </w:rPr>
        <w:sectPr>
          <w:pgSz w:w="11906" w:h="16838"/>
          <w:pgMar w:top="1440" w:right="1797" w:bottom="1440" w:left="1797" w:header="851" w:footer="992" w:gutter="0"/>
          <w:cols w:space="425" w:num="1"/>
          <w:docGrid w:type="linesAndChars" w:linePitch="312" w:charSpace="0"/>
        </w:sectPr>
      </w:pPr>
    </w:p>
    <w:p>
      <w:pPr>
        <w:keepNext/>
        <w:keepLines/>
        <w:pageBreakBefore w:val="0"/>
        <w:widowControl w:val="0"/>
        <w:kinsoku/>
        <w:wordWrap/>
        <w:overflowPunct/>
        <w:topLinePunct w:val="0"/>
        <w:autoSpaceDE/>
        <w:autoSpaceDN/>
        <w:bidi w:val="0"/>
        <w:adjustRightInd w:val="0"/>
        <w:snapToGrid w:val="0"/>
        <w:spacing w:line="360" w:lineRule="auto"/>
        <w:jc w:val="center"/>
        <w:textAlignment w:val="auto"/>
        <w:rPr>
          <w:b/>
          <w:bCs/>
        </w:rPr>
      </w:pPr>
      <w:r>
        <w:rPr>
          <w:rFonts w:hint="eastAsia"/>
          <w:b/>
          <w:bCs/>
        </w:rPr>
        <w:t>目       录</w:t>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TOC \o "1-3" \h \z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_Toc11502 </w:instrText>
      </w:r>
      <w:r>
        <w:rPr>
          <w:rFonts w:hint="eastAsia" w:ascii="仿宋" w:hAnsi="仿宋" w:eastAsia="仿宋" w:cs="仿宋"/>
          <w:sz w:val="28"/>
          <w:szCs w:val="28"/>
        </w:rPr>
        <w:fldChar w:fldCharType="separate"/>
      </w:r>
      <w:r>
        <w:rPr>
          <w:rFonts w:hint="eastAsia" w:ascii="仿宋" w:hAnsi="仿宋" w:eastAsia="仿宋" w:cs="仿宋"/>
          <w:sz w:val="28"/>
          <w:szCs w:val="28"/>
        </w:rPr>
        <w:t>1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_Toc11502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_Toc30284 </w:instrText>
      </w:r>
      <w:r>
        <w:rPr>
          <w:rFonts w:hint="eastAsia" w:ascii="仿宋" w:hAnsi="仿宋" w:eastAsia="仿宋" w:cs="仿宋"/>
          <w:sz w:val="28"/>
          <w:szCs w:val="28"/>
        </w:rPr>
        <w:fldChar w:fldCharType="separate"/>
      </w:r>
      <w:r>
        <w:rPr>
          <w:rFonts w:hint="eastAsia" w:ascii="仿宋" w:hAnsi="仿宋" w:eastAsia="仿宋" w:cs="仿宋"/>
          <w:sz w:val="28"/>
          <w:szCs w:val="28"/>
        </w:rPr>
        <w:t>1.1 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_Toc30284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_Toc18014 </w:instrText>
      </w:r>
      <w:r>
        <w:rPr>
          <w:rFonts w:hint="eastAsia" w:ascii="仿宋" w:hAnsi="仿宋" w:eastAsia="仿宋" w:cs="仿宋"/>
          <w:sz w:val="28"/>
          <w:szCs w:val="28"/>
        </w:rPr>
        <w:fldChar w:fldCharType="separate"/>
      </w:r>
      <w:r>
        <w:rPr>
          <w:rFonts w:hint="eastAsia" w:ascii="仿宋" w:hAnsi="仿宋" w:eastAsia="仿宋" w:cs="仿宋"/>
          <w:sz w:val="28"/>
          <w:szCs w:val="28"/>
        </w:rPr>
        <w:t>1.2 新城区突发事件的特点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_Toc18014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_Toc13781 </w:instrText>
      </w:r>
      <w:r>
        <w:rPr>
          <w:rFonts w:hint="eastAsia" w:ascii="仿宋" w:hAnsi="仿宋" w:eastAsia="仿宋" w:cs="仿宋"/>
          <w:sz w:val="28"/>
          <w:szCs w:val="28"/>
        </w:rPr>
        <w:fldChar w:fldCharType="separate"/>
      </w:r>
      <w:r>
        <w:rPr>
          <w:rFonts w:hint="eastAsia" w:ascii="仿宋" w:hAnsi="仿宋" w:eastAsia="仿宋" w:cs="仿宋"/>
          <w:sz w:val="28"/>
          <w:szCs w:val="28"/>
        </w:rPr>
        <w:t>1.3 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_Toc13781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_Toc23511 </w:instrText>
      </w:r>
      <w:r>
        <w:rPr>
          <w:rFonts w:hint="eastAsia" w:ascii="仿宋" w:hAnsi="仿宋" w:eastAsia="仿宋" w:cs="仿宋"/>
          <w:sz w:val="28"/>
          <w:szCs w:val="28"/>
        </w:rPr>
        <w:fldChar w:fldCharType="separate"/>
      </w:r>
      <w:r>
        <w:rPr>
          <w:rFonts w:hint="eastAsia" w:ascii="仿宋" w:hAnsi="仿宋" w:eastAsia="仿宋" w:cs="仿宋"/>
          <w:sz w:val="28"/>
          <w:szCs w:val="28"/>
        </w:rPr>
        <w:t>1.4 突发事件分类分级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_Toc23511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_Toc284 </w:instrText>
      </w:r>
      <w:r>
        <w:rPr>
          <w:rFonts w:hint="eastAsia" w:ascii="仿宋" w:hAnsi="仿宋" w:eastAsia="仿宋" w:cs="仿宋"/>
          <w:sz w:val="28"/>
          <w:szCs w:val="28"/>
        </w:rPr>
        <w:fldChar w:fldCharType="separate"/>
      </w:r>
      <w:r>
        <w:rPr>
          <w:rFonts w:hint="eastAsia" w:ascii="仿宋" w:hAnsi="仿宋" w:eastAsia="仿宋" w:cs="仿宋"/>
          <w:sz w:val="28"/>
          <w:szCs w:val="28"/>
        </w:rPr>
        <w:t>1.5 分级应对与响应分级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_Toc284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_Toc22710 </w:instrText>
      </w:r>
      <w:r>
        <w:rPr>
          <w:rFonts w:hint="eastAsia" w:ascii="仿宋" w:hAnsi="仿宋" w:eastAsia="仿宋" w:cs="仿宋"/>
          <w:sz w:val="28"/>
          <w:szCs w:val="28"/>
        </w:rPr>
        <w:fldChar w:fldCharType="separate"/>
      </w:r>
      <w:r>
        <w:rPr>
          <w:rFonts w:hint="eastAsia" w:ascii="仿宋" w:hAnsi="仿宋" w:eastAsia="仿宋" w:cs="仿宋"/>
          <w:sz w:val="28"/>
          <w:szCs w:val="28"/>
        </w:rPr>
        <w:t>1.6 应急预案体系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_Toc22710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_Toc21718 </w:instrText>
      </w:r>
      <w:r>
        <w:rPr>
          <w:rFonts w:hint="eastAsia" w:ascii="仿宋" w:hAnsi="仿宋" w:eastAsia="仿宋" w:cs="仿宋"/>
          <w:sz w:val="28"/>
          <w:szCs w:val="28"/>
        </w:rPr>
        <w:fldChar w:fldCharType="separate"/>
      </w:r>
      <w:r>
        <w:rPr>
          <w:rFonts w:hint="eastAsia" w:ascii="仿宋" w:hAnsi="仿宋" w:eastAsia="仿宋" w:cs="仿宋"/>
          <w:sz w:val="28"/>
          <w:szCs w:val="28"/>
        </w:rPr>
        <w:t>2 组织指挥体系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_Toc21718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_Toc12702 </w:instrText>
      </w:r>
      <w:r>
        <w:rPr>
          <w:rFonts w:hint="eastAsia" w:ascii="仿宋" w:hAnsi="仿宋" w:eastAsia="仿宋" w:cs="仿宋"/>
          <w:sz w:val="28"/>
          <w:szCs w:val="28"/>
        </w:rPr>
        <w:fldChar w:fldCharType="separate"/>
      </w:r>
      <w:r>
        <w:rPr>
          <w:rFonts w:hint="eastAsia" w:ascii="仿宋" w:hAnsi="仿宋" w:eastAsia="仿宋" w:cs="仿宋"/>
          <w:sz w:val="28"/>
          <w:szCs w:val="28"/>
        </w:rPr>
        <w:t>2.1 领导机构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_Toc12702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_Toc23042 </w:instrText>
      </w:r>
      <w:r>
        <w:rPr>
          <w:rFonts w:hint="eastAsia" w:ascii="仿宋" w:hAnsi="仿宋" w:eastAsia="仿宋" w:cs="仿宋"/>
          <w:sz w:val="28"/>
          <w:szCs w:val="28"/>
        </w:rPr>
        <w:fldChar w:fldCharType="separate"/>
      </w:r>
      <w:r>
        <w:rPr>
          <w:rFonts w:hint="eastAsia" w:ascii="仿宋" w:hAnsi="仿宋" w:eastAsia="仿宋" w:cs="仿宋"/>
          <w:sz w:val="28"/>
          <w:szCs w:val="28"/>
        </w:rPr>
        <w:t>2.2 工作机构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_Toc23042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_Toc19987 </w:instrText>
      </w:r>
      <w:r>
        <w:rPr>
          <w:rFonts w:hint="eastAsia" w:ascii="仿宋" w:hAnsi="仿宋" w:eastAsia="仿宋" w:cs="仿宋"/>
          <w:sz w:val="28"/>
          <w:szCs w:val="28"/>
        </w:rPr>
        <w:fldChar w:fldCharType="separate"/>
      </w:r>
      <w:r>
        <w:rPr>
          <w:rFonts w:hint="eastAsia" w:ascii="仿宋" w:hAnsi="仿宋" w:eastAsia="仿宋" w:cs="仿宋"/>
          <w:sz w:val="28"/>
          <w:szCs w:val="28"/>
        </w:rPr>
        <w:t>2.3 专项突发事件指挥机构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_Toc19987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_Toc28119 </w:instrText>
      </w:r>
      <w:r>
        <w:rPr>
          <w:rFonts w:hint="eastAsia" w:ascii="仿宋" w:hAnsi="仿宋" w:eastAsia="仿宋" w:cs="仿宋"/>
          <w:sz w:val="28"/>
          <w:szCs w:val="28"/>
        </w:rPr>
        <w:fldChar w:fldCharType="separate"/>
      </w:r>
      <w:r>
        <w:rPr>
          <w:rFonts w:hint="eastAsia" w:ascii="仿宋" w:hAnsi="仿宋" w:eastAsia="仿宋" w:cs="仿宋"/>
          <w:sz w:val="28"/>
          <w:szCs w:val="28"/>
        </w:rPr>
        <w:t>2.4 现场指挥部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_Toc28119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_Toc3984 </w:instrText>
      </w:r>
      <w:r>
        <w:rPr>
          <w:rFonts w:hint="eastAsia" w:ascii="仿宋" w:hAnsi="仿宋" w:eastAsia="仿宋" w:cs="仿宋"/>
          <w:sz w:val="28"/>
          <w:szCs w:val="28"/>
        </w:rPr>
        <w:fldChar w:fldCharType="separate"/>
      </w:r>
      <w:r>
        <w:rPr>
          <w:rFonts w:hint="eastAsia" w:ascii="仿宋" w:hAnsi="仿宋" w:eastAsia="仿宋" w:cs="仿宋"/>
          <w:sz w:val="28"/>
          <w:szCs w:val="28"/>
        </w:rPr>
        <w:t>2.5 专家组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_Toc3984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_Toc2178 </w:instrText>
      </w:r>
      <w:r>
        <w:rPr>
          <w:rFonts w:hint="eastAsia" w:ascii="仿宋" w:hAnsi="仿宋" w:eastAsia="仿宋" w:cs="仿宋"/>
          <w:sz w:val="28"/>
          <w:szCs w:val="28"/>
        </w:rPr>
        <w:fldChar w:fldCharType="separate"/>
      </w:r>
      <w:r>
        <w:rPr>
          <w:rFonts w:hint="eastAsia" w:ascii="仿宋" w:hAnsi="仿宋" w:eastAsia="仿宋" w:cs="仿宋"/>
          <w:sz w:val="28"/>
          <w:szCs w:val="28"/>
        </w:rPr>
        <w:t>2.6 基层和社会组织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_Toc2178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_Toc8135 </w:instrText>
      </w:r>
      <w:r>
        <w:rPr>
          <w:rFonts w:hint="eastAsia" w:ascii="仿宋" w:hAnsi="仿宋" w:eastAsia="仿宋" w:cs="仿宋"/>
          <w:sz w:val="28"/>
          <w:szCs w:val="28"/>
        </w:rPr>
        <w:fldChar w:fldCharType="separate"/>
      </w:r>
      <w:r>
        <w:rPr>
          <w:rFonts w:hint="eastAsia" w:ascii="仿宋" w:hAnsi="仿宋" w:eastAsia="仿宋" w:cs="仿宋"/>
          <w:sz w:val="28"/>
          <w:szCs w:val="28"/>
        </w:rPr>
        <w:t>3 风险防控、监测与预警预报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_Toc8135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_Toc15960 </w:instrText>
      </w:r>
      <w:r>
        <w:rPr>
          <w:rFonts w:hint="eastAsia" w:ascii="仿宋" w:hAnsi="仿宋" w:eastAsia="仿宋" w:cs="仿宋"/>
          <w:sz w:val="28"/>
          <w:szCs w:val="28"/>
        </w:rPr>
        <w:fldChar w:fldCharType="separate"/>
      </w:r>
      <w:r>
        <w:rPr>
          <w:rFonts w:hint="eastAsia" w:ascii="仿宋" w:hAnsi="仿宋" w:eastAsia="仿宋" w:cs="仿宋"/>
          <w:sz w:val="28"/>
          <w:szCs w:val="28"/>
        </w:rPr>
        <w:t>3.1 风险防控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_Toc15960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_Toc13687 </w:instrText>
      </w:r>
      <w:r>
        <w:rPr>
          <w:rFonts w:hint="eastAsia" w:ascii="仿宋" w:hAnsi="仿宋" w:eastAsia="仿宋" w:cs="仿宋"/>
          <w:sz w:val="28"/>
          <w:szCs w:val="28"/>
        </w:rPr>
        <w:fldChar w:fldCharType="separate"/>
      </w:r>
      <w:r>
        <w:rPr>
          <w:rFonts w:hint="eastAsia" w:ascii="仿宋" w:hAnsi="仿宋" w:eastAsia="仿宋" w:cs="仿宋"/>
          <w:sz w:val="28"/>
          <w:szCs w:val="28"/>
        </w:rPr>
        <w:t>3.2 监测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_Toc13687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_Toc6099 </w:instrText>
      </w:r>
      <w:r>
        <w:rPr>
          <w:rFonts w:hint="eastAsia" w:ascii="仿宋" w:hAnsi="仿宋" w:eastAsia="仿宋" w:cs="仿宋"/>
          <w:sz w:val="28"/>
          <w:szCs w:val="28"/>
        </w:rPr>
        <w:fldChar w:fldCharType="separate"/>
      </w:r>
      <w:r>
        <w:rPr>
          <w:rFonts w:hint="eastAsia" w:ascii="仿宋" w:hAnsi="仿宋" w:eastAsia="仿宋" w:cs="仿宋"/>
          <w:sz w:val="28"/>
          <w:szCs w:val="28"/>
        </w:rPr>
        <w:t>3.3 预警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_Toc6099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_Toc6404 </w:instrText>
      </w:r>
      <w:r>
        <w:rPr>
          <w:rFonts w:hint="eastAsia" w:ascii="仿宋" w:hAnsi="仿宋" w:eastAsia="仿宋" w:cs="仿宋"/>
          <w:sz w:val="28"/>
          <w:szCs w:val="28"/>
        </w:rPr>
        <w:fldChar w:fldCharType="separate"/>
      </w:r>
      <w:r>
        <w:rPr>
          <w:rFonts w:hint="eastAsia" w:ascii="仿宋" w:hAnsi="仿宋" w:eastAsia="仿宋" w:cs="仿宋"/>
          <w:sz w:val="28"/>
          <w:szCs w:val="28"/>
        </w:rPr>
        <w:t>4 应急处置与救援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_Toc6404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_Toc24148 </w:instrText>
      </w:r>
      <w:r>
        <w:rPr>
          <w:rFonts w:hint="eastAsia" w:ascii="仿宋" w:hAnsi="仿宋" w:eastAsia="仿宋" w:cs="仿宋"/>
          <w:sz w:val="28"/>
          <w:szCs w:val="28"/>
        </w:rPr>
        <w:fldChar w:fldCharType="separate"/>
      </w:r>
      <w:r>
        <w:rPr>
          <w:rFonts w:hint="eastAsia" w:ascii="仿宋" w:hAnsi="仿宋" w:eastAsia="仿宋" w:cs="仿宋"/>
          <w:sz w:val="28"/>
          <w:szCs w:val="28"/>
        </w:rPr>
        <w:t>4.1 信息报告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_Toc24148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_Toc11949 </w:instrText>
      </w:r>
      <w:r>
        <w:rPr>
          <w:rFonts w:hint="eastAsia" w:ascii="仿宋" w:hAnsi="仿宋" w:eastAsia="仿宋" w:cs="仿宋"/>
          <w:sz w:val="28"/>
          <w:szCs w:val="28"/>
        </w:rPr>
        <w:fldChar w:fldCharType="separate"/>
      </w:r>
      <w:r>
        <w:rPr>
          <w:rFonts w:hint="eastAsia" w:ascii="仿宋" w:hAnsi="仿宋" w:eastAsia="仿宋" w:cs="仿宋"/>
          <w:sz w:val="28"/>
          <w:szCs w:val="28"/>
        </w:rPr>
        <w:t>4.2 先期处置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_Toc11949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_Toc11253 </w:instrText>
      </w:r>
      <w:r>
        <w:rPr>
          <w:rFonts w:hint="eastAsia" w:ascii="仿宋" w:hAnsi="仿宋" w:eastAsia="仿宋" w:cs="仿宋"/>
          <w:sz w:val="28"/>
          <w:szCs w:val="28"/>
        </w:rPr>
        <w:fldChar w:fldCharType="separate"/>
      </w:r>
      <w:r>
        <w:rPr>
          <w:rFonts w:hint="eastAsia" w:ascii="仿宋" w:hAnsi="仿宋" w:eastAsia="仿宋" w:cs="仿宋"/>
          <w:sz w:val="28"/>
          <w:szCs w:val="28"/>
        </w:rPr>
        <w:t>4.3 指挥协调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_Toc11253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_Toc21899 </w:instrText>
      </w:r>
      <w:r>
        <w:rPr>
          <w:rFonts w:hint="eastAsia" w:ascii="仿宋" w:hAnsi="仿宋" w:eastAsia="仿宋" w:cs="仿宋"/>
          <w:sz w:val="28"/>
          <w:szCs w:val="28"/>
        </w:rPr>
        <w:fldChar w:fldCharType="separate"/>
      </w:r>
      <w:r>
        <w:rPr>
          <w:rFonts w:hint="eastAsia" w:ascii="仿宋" w:hAnsi="仿宋" w:eastAsia="仿宋" w:cs="仿宋"/>
          <w:sz w:val="28"/>
          <w:szCs w:val="28"/>
        </w:rPr>
        <w:t>4.4 处置措施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_Toc21899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_Toc21594 </w:instrText>
      </w:r>
      <w:r>
        <w:rPr>
          <w:rFonts w:hint="eastAsia" w:ascii="仿宋" w:hAnsi="仿宋" w:eastAsia="仿宋" w:cs="仿宋"/>
          <w:sz w:val="28"/>
          <w:szCs w:val="28"/>
        </w:rPr>
        <w:fldChar w:fldCharType="separate"/>
      </w:r>
      <w:r>
        <w:rPr>
          <w:rFonts w:hint="eastAsia" w:ascii="仿宋" w:hAnsi="仿宋" w:eastAsia="仿宋" w:cs="仿宋"/>
          <w:sz w:val="28"/>
          <w:szCs w:val="28"/>
        </w:rPr>
        <w:t>4.5 信息发布与舆论引导</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_Toc21594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_Toc22504 </w:instrText>
      </w:r>
      <w:r>
        <w:rPr>
          <w:rFonts w:hint="eastAsia" w:ascii="仿宋" w:hAnsi="仿宋" w:eastAsia="仿宋" w:cs="仿宋"/>
          <w:sz w:val="28"/>
          <w:szCs w:val="28"/>
        </w:rPr>
        <w:fldChar w:fldCharType="separate"/>
      </w:r>
      <w:r>
        <w:rPr>
          <w:rFonts w:hint="eastAsia" w:ascii="仿宋" w:hAnsi="仿宋" w:eastAsia="仿宋" w:cs="仿宋"/>
          <w:sz w:val="28"/>
          <w:szCs w:val="28"/>
        </w:rPr>
        <w:t>4.5 紧急状态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_Toc22504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_Toc14665 </w:instrText>
      </w:r>
      <w:r>
        <w:rPr>
          <w:rFonts w:hint="eastAsia" w:ascii="仿宋" w:hAnsi="仿宋" w:eastAsia="仿宋" w:cs="仿宋"/>
          <w:sz w:val="28"/>
          <w:szCs w:val="28"/>
        </w:rPr>
        <w:fldChar w:fldCharType="separate"/>
      </w:r>
      <w:r>
        <w:rPr>
          <w:rFonts w:hint="eastAsia" w:ascii="仿宋" w:hAnsi="仿宋" w:eastAsia="仿宋" w:cs="仿宋"/>
          <w:sz w:val="28"/>
          <w:szCs w:val="28"/>
        </w:rPr>
        <w:t>4.6 应急结束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_Toc14665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_Toc14265 </w:instrText>
      </w:r>
      <w:r>
        <w:rPr>
          <w:rFonts w:hint="eastAsia" w:ascii="仿宋" w:hAnsi="仿宋" w:eastAsia="仿宋" w:cs="仿宋"/>
          <w:sz w:val="28"/>
          <w:szCs w:val="28"/>
        </w:rPr>
        <w:fldChar w:fldCharType="separate"/>
      </w:r>
      <w:r>
        <w:rPr>
          <w:rFonts w:hint="eastAsia" w:ascii="仿宋" w:hAnsi="仿宋" w:eastAsia="仿宋" w:cs="仿宋"/>
          <w:sz w:val="28"/>
          <w:szCs w:val="28"/>
        </w:rPr>
        <w:t>5 后期处置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_Toc14265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_Toc24738 </w:instrText>
      </w:r>
      <w:r>
        <w:rPr>
          <w:rFonts w:hint="eastAsia" w:ascii="仿宋" w:hAnsi="仿宋" w:eastAsia="仿宋" w:cs="仿宋"/>
          <w:sz w:val="28"/>
          <w:szCs w:val="28"/>
        </w:rPr>
        <w:fldChar w:fldCharType="separate"/>
      </w:r>
      <w:r>
        <w:rPr>
          <w:rFonts w:hint="eastAsia" w:ascii="仿宋" w:hAnsi="仿宋" w:eastAsia="仿宋" w:cs="仿宋"/>
          <w:sz w:val="28"/>
          <w:szCs w:val="28"/>
        </w:rPr>
        <w:t>5.1 善后处置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_Toc24738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_Toc5484 </w:instrText>
      </w:r>
      <w:r>
        <w:rPr>
          <w:rFonts w:hint="eastAsia" w:ascii="仿宋" w:hAnsi="仿宋" w:eastAsia="仿宋" w:cs="仿宋"/>
          <w:sz w:val="28"/>
          <w:szCs w:val="28"/>
        </w:rPr>
        <w:fldChar w:fldCharType="separate"/>
      </w:r>
      <w:r>
        <w:rPr>
          <w:rFonts w:hint="eastAsia" w:ascii="仿宋" w:hAnsi="仿宋" w:eastAsia="仿宋" w:cs="仿宋"/>
          <w:sz w:val="28"/>
          <w:szCs w:val="28"/>
        </w:rPr>
        <w:t>5.2 恢复重建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_Toc5484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_Toc21488 </w:instrText>
      </w:r>
      <w:r>
        <w:rPr>
          <w:rFonts w:hint="eastAsia" w:ascii="仿宋" w:hAnsi="仿宋" w:eastAsia="仿宋" w:cs="仿宋"/>
          <w:sz w:val="28"/>
          <w:szCs w:val="28"/>
        </w:rPr>
        <w:fldChar w:fldCharType="separate"/>
      </w:r>
      <w:r>
        <w:rPr>
          <w:rFonts w:hint="eastAsia" w:ascii="仿宋" w:hAnsi="仿宋" w:eastAsia="仿宋" w:cs="仿宋"/>
          <w:sz w:val="28"/>
          <w:szCs w:val="28"/>
        </w:rPr>
        <w:t>5.3 调查与评估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_Toc21488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_Toc32618 </w:instrText>
      </w:r>
      <w:r>
        <w:rPr>
          <w:rFonts w:hint="eastAsia" w:ascii="仿宋" w:hAnsi="仿宋" w:eastAsia="仿宋" w:cs="仿宋"/>
          <w:sz w:val="28"/>
          <w:szCs w:val="28"/>
        </w:rPr>
        <w:fldChar w:fldCharType="separate"/>
      </w:r>
      <w:r>
        <w:rPr>
          <w:rFonts w:hint="eastAsia" w:ascii="仿宋" w:hAnsi="仿宋" w:eastAsia="仿宋" w:cs="仿宋"/>
          <w:sz w:val="28"/>
          <w:szCs w:val="28"/>
        </w:rPr>
        <w:t>6 应急保障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_Toc32618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_Toc3805 </w:instrText>
      </w:r>
      <w:r>
        <w:rPr>
          <w:rFonts w:hint="eastAsia" w:ascii="仿宋" w:hAnsi="仿宋" w:eastAsia="仿宋" w:cs="仿宋"/>
          <w:sz w:val="28"/>
          <w:szCs w:val="28"/>
        </w:rPr>
        <w:fldChar w:fldCharType="separate"/>
      </w:r>
      <w:r>
        <w:rPr>
          <w:rFonts w:hint="eastAsia" w:ascii="仿宋" w:hAnsi="仿宋" w:eastAsia="仿宋" w:cs="仿宋"/>
          <w:sz w:val="28"/>
          <w:szCs w:val="28"/>
        </w:rPr>
        <w:t>6.1 通信与信息保障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_Toc3805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_Toc5649 </w:instrText>
      </w:r>
      <w:r>
        <w:rPr>
          <w:rFonts w:hint="eastAsia" w:ascii="仿宋" w:hAnsi="仿宋" w:eastAsia="仿宋" w:cs="仿宋"/>
          <w:sz w:val="28"/>
          <w:szCs w:val="28"/>
        </w:rPr>
        <w:fldChar w:fldCharType="separate"/>
      </w:r>
      <w:r>
        <w:rPr>
          <w:rFonts w:hint="eastAsia" w:ascii="仿宋" w:hAnsi="仿宋" w:eastAsia="仿宋" w:cs="仿宋"/>
          <w:sz w:val="28"/>
          <w:szCs w:val="28"/>
        </w:rPr>
        <w:t>6.2 应急队伍保障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_Toc5649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_Toc29636 </w:instrText>
      </w:r>
      <w:r>
        <w:rPr>
          <w:rFonts w:hint="eastAsia" w:ascii="仿宋" w:hAnsi="仿宋" w:eastAsia="仿宋" w:cs="仿宋"/>
          <w:sz w:val="28"/>
          <w:szCs w:val="28"/>
        </w:rPr>
        <w:fldChar w:fldCharType="separate"/>
      </w:r>
      <w:r>
        <w:rPr>
          <w:rFonts w:hint="eastAsia" w:ascii="仿宋" w:hAnsi="仿宋" w:eastAsia="仿宋" w:cs="仿宋"/>
          <w:sz w:val="28"/>
          <w:szCs w:val="28"/>
        </w:rPr>
        <w:t>6.3 物资装备保障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_Toc29636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_Toc20858 </w:instrText>
      </w:r>
      <w:r>
        <w:rPr>
          <w:rFonts w:hint="eastAsia" w:ascii="仿宋" w:hAnsi="仿宋" w:eastAsia="仿宋" w:cs="仿宋"/>
          <w:sz w:val="28"/>
          <w:szCs w:val="28"/>
        </w:rPr>
        <w:fldChar w:fldCharType="separate"/>
      </w:r>
      <w:r>
        <w:rPr>
          <w:rFonts w:hint="eastAsia" w:ascii="仿宋" w:hAnsi="仿宋" w:eastAsia="仿宋" w:cs="仿宋"/>
          <w:sz w:val="28"/>
          <w:szCs w:val="28"/>
        </w:rPr>
        <w:t>6.4 交通运输保障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_Toc20858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_Toc22667 </w:instrText>
      </w:r>
      <w:r>
        <w:rPr>
          <w:rFonts w:hint="eastAsia" w:ascii="仿宋" w:hAnsi="仿宋" w:eastAsia="仿宋" w:cs="仿宋"/>
          <w:sz w:val="28"/>
          <w:szCs w:val="28"/>
        </w:rPr>
        <w:fldChar w:fldCharType="separate"/>
      </w:r>
      <w:r>
        <w:rPr>
          <w:rFonts w:hint="eastAsia" w:ascii="仿宋" w:hAnsi="仿宋" w:eastAsia="仿宋" w:cs="仿宋"/>
          <w:sz w:val="28"/>
          <w:szCs w:val="28"/>
        </w:rPr>
        <w:t>6.5 医疗卫生保障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_Toc22667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_Toc31723 </w:instrText>
      </w:r>
      <w:r>
        <w:rPr>
          <w:rFonts w:hint="eastAsia" w:ascii="仿宋" w:hAnsi="仿宋" w:eastAsia="仿宋" w:cs="仿宋"/>
          <w:sz w:val="28"/>
          <w:szCs w:val="28"/>
        </w:rPr>
        <w:fldChar w:fldCharType="separate"/>
      </w:r>
      <w:r>
        <w:rPr>
          <w:rFonts w:hint="eastAsia" w:ascii="仿宋" w:hAnsi="仿宋" w:eastAsia="仿宋" w:cs="仿宋"/>
          <w:sz w:val="28"/>
          <w:szCs w:val="28"/>
        </w:rPr>
        <w:t>6.6 治安保障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_Toc31723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_Toc23685 </w:instrText>
      </w:r>
      <w:r>
        <w:rPr>
          <w:rFonts w:hint="eastAsia" w:ascii="仿宋" w:hAnsi="仿宋" w:eastAsia="仿宋" w:cs="仿宋"/>
          <w:sz w:val="28"/>
          <w:szCs w:val="28"/>
        </w:rPr>
        <w:fldChar w:fldCharType="separate"/>
      </w:r>
      <w:r>
        <w:rPr>
          <w:rFonts w:hint="eastAsia" w:ascii="仿宋" w:hAnsi="仿宋" w:eastAsia="仿宋" w:cs="仿宋"/>
          <w:sz w:val="28"/>
          <w:szCs w:val="28"/>
        </w:rPr>
        <w:t>6.7 应急避难场所保障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_Toc23685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_Toc15676 </w:instrText>
      </w:r>
      <w:r>
        <w:rPr>
          <w:rFonts w:hint="eastAsia" w:ascii="仿宋" w:hAnsi="仿宋" w:eastAsia="仿宋" w:cs="仿宋"/>
          <w:sz w:val="28"/>
          <w:szCs w:val="28"/>
        </w:rPr>
        <w:fldChar w:fldCharType="separate"/>
      </w:r>
      <w:r>
        <w:rPr>
          <w:rFonts w:hint="eastAsia" w:ascii="仿宋" w:hAnsi="仿宋" w:eastAsia="仿宋" w:cs="仿宋"/>
          <w:sz w:val="28"/>
          <w:szCs w:val="28"/>
        </w:rPr>
        <w:t>6.8 资金保障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_Toc15676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_Toc11127 </w:instrText>
      </w:r>
      <w:r>
        <w:rPr>
          <w:rFonts w:hint="eastAsia" w:ascii="仿宋" w:hAnsi="仿宋" w:eastAsia="仿宋" w:cs="仿宋"/>
          <w:sz w:val="28"/>
          <w:szCs w:val="28"/>
        </w:rPr>
        <w:fldChar w:fldCharType="separate"/>
      </w:r>
      <w:r>
        <w:rPr>
          <w:rFonts w:hint="eastAsia" w:ascii="仿宋" w:hAnsi="仿宋" w:eastAsia="仿宋" w:cs="仿宋"/>
          <w:sz w:val="28"/>
          <w:szCs w:val="28"/>
        </w:rPr>
        <w:t>6.9 科技保障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_Toc11127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_Toc10197 </w:instrText>
      </w:r>
      <w:r>
        <w:rPr>
          <w:rFonts w:hint="eastAsia" w:ascii="仿宋" w:hAnsi="仿宋" w:eastAsia="仿宋" w:cs="仿宋"/>
          <w:sz w:val="28"/>
          <w:szCs w:val="28"/>
        </w:rPr>
        <w:fldChar w:fldCharType="separate"/>
      </w:r>
      <w:r>
        <w:rPr>
          <w:rFonts w:hint="eastAsia" w:ascii="仿宋" w:hAnsi="仿宋" w:eastAsia="仿宋" w:cs="仿宋"/>
          <w:sz w:val="28"/>
          <w:szCs w:val="28"/>
        </w:rPr>
        <w:t>7 预案管理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_Toc10197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_Toc13564 </w:instrText>
      </w:r>
      <w:r>
        <w:rPr>
          <w:rFonts w:hint="eastAsia" w:ascii="仿宋" w:hAnsi="仿宋" w:eastAsia="仿宋" w:cs="仿宋"/>
          <w:sz w:val="28"/>
          <w:szCs w:val="28"/>
        </w:rPr>
        <w:fldChar w:fldCharType="separate"/>
      </w:r>
      <w:r>
        <w:rPr>
          <w:rFonts w:hint="eastAsia" w:ascii="仿宋" w:hAnsi="仿宋" w:eastAsia="仿宋" w:cs="仿宋"/>
          <w:sz w:val="28"/>
          <w:szCs w:val="28"/>
        </w:rPr>
        <w:t>7.1 预案制定与备案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_Toc13564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_Toc16495 </w:instrText>
      </w:r>
      <w:r>
        <w:rPr>
          <w:rFonts w:hint="eastAsia" w:ascii="仿宋" w:hAnsi="仿宋" w:eastAsia="仿宋" w:cs="仿宋"/>
          <w:sz w:val="28"/>
          <w:szCs w:val="28"/>
        </w:rPr>
        <w:fldChar w:fldCharType="separate"/>
      </w:r>
      <w:r>
        <w:rPr>
          <w:rFonts w:hint="eastAsia" w:ascii="仿宋" w:hAnsi="仿宋" w:eastAsia="仿宋" w:cs="仿宋"/>
          <w:sz w:val="28"/>
          <w:szCs w:val="28"/>
        </w:rPr>
        <w:t>7.2 宣传与培训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_Toc16495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_Toc22369 </w:instrText>
      </w:r>
      <w:r>
        <w:rPr>
          <w:rFonts w:hint="eastAsia" w:ascii="仿宋" w:hAnsi="仿宋" w:eastAsia="仿宋" w:cs="仿宋"/>
          <w:sz w:val="28"/>
          <w:szCs w:val="28"/>
        </w:rPr>
        <w:fldChar w:fldCharType="separate"/>
      </w:r>
      <w:r>
        <w:rPr>
          <w:rFonts w:hint="eastAsia" w:ascii="仿宋" w:hAnsi="仿宋" w:eastAsia="仿宋" w:cs="仿宋"/>
          <w:sz w:val="28"/>
          <w:szCs w:val="28"/>
        </w:rPr>
        <w:t>7.3 应急演练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_Toc22369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_Toc27391 </w:instrText>
      </w:r>
      <w:r>
        <w:rPr>
          <w:rFonts w:hint="eastAsia" w:ascii="仿宋" w:hAnsi="仿宋" w:eastAsia="仿宋" w:cs="仿宋"/>
          <w:sz w:val="28"/>
          <w:szCs w:val="28"/>
        </w:rPr>
        <w:fldChar w:fldCharType="separate"/>
      </w:r>
      <w:r>
        <w:rPr>
          <w:rFonts w:hint="eastAsia" w:ascii="仿宋" w:hAnsi="仿宋" w:eastAsia="仿宋" w:cs="仿宋"/>
          <w:sz w:val="28"/>
          <w:szCs w:val="28"/>
        </w:rPr>
        <w:t>8 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_Toc27391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_Toc21409 </w:instrText>
      </w:r>
      <w:r>
        <w:rPr>
          <w:rFonts w:hint="eastAsia" w:ascii="仿宋" w:hAnsi="仿宋" w:eastAsia="仿宋" w:cs="仿宋"/>
          <w:sz w:val="28"/>
          <w:szCs w:val="28"/>
        </w:rPr>
        <w:fldChar w:fldCharType="separate"/>
      </w:r>
      <w:r>
        <w:rPr>
          <w:rFonts w:hint="eastAsia" w:ascii="仿宋" w:hAnsi="仿宋" w:eastAsia="仿宋" w:cs="仿宋"/>
          <w:sz w:val="28"/>
          <w:szCs w:val="28"/>
        </w:rPr>
        <w:t>8.1 定义和说明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_Toc21409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_Toc30074 </w:instrText>
      </w:r>
      <w:r>
        <w:rPr>
          <w:rFonts w:hint="eastAsia" w:ascii="仿宋" w:hAnsi="仿宋" w:eastAsia="仿宋" w:cs="仿宋"/>
          <w:sz w:val="28"/>
          <w:szCs w:val="28"/>
        </w:rPr>
        <w:fldChar w:fldCharType="separate"/>
      </w:r>
      <w:r>
        <w:rPr>
          <w:rFonts w:hint="eastAsia" w:ascii="仿宋" w:hAnsi="仿宋" w:eastAsia="仿宋" w:cs="仿宋"/>
          <w:sz w:val="28"/>
          <w:szCs w:val="28"/>
        </w:rPr>
        <w:t>8.2 关联文件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_Toc30074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_Toc27177 </w:instrText>
      </w:r>
      <w:r>
        <w:rPr>
          <w:rFonts w:hint="eastAsia" w:ascii="仿宋" w:hAnsi="仿宋" w:eastAsia="仿宋" w:cs="仿宋"/>
          <w:sz w:val="28"/>
          <w:szCs w:val="28"/>
        </w:rPr>
        <w:fldChar w:fldCharType="separate"/>
      </w:r>
      <w:r>
        <w:rPr>
          <w:rFonts w:hint="eastAsia" w:ascii="仿宋" w:hAnsi="仿宋" w:eastAsia="仿宋" w:cs="仿宋"/>
          <w:sz w:val="28"/>
          <w:szCs w:val="28"/>
        </w:rPr>
        <w:t>8.3预案说明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_Toc27177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tabs>
          <w:tab w:val="right" w:leader="dot" w:pos="8312"/>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_Toc29981 </w:instrText>
      </w:r>
      <w:r>
        <w:rPr>
          <w:rFonts w:hint="eastAsia" w:ascii="仿宋" w:hAnsi="仿宋" w:eastAsia="仿宋" w:cs="仿宋"/>
          <w:sz w:val="28"/>
          <w:szCs w:val="28"/>
        </w:rPr>
        <w:fldChar w:fldCharType="separate"/>
      </w:r>
      <w:r>
        <w:rPr>
          <w:rFonts w:hint="eastAsia" w:ascii="仿宋" w:hAnsi="仿宋" w:eastAsia="仿宋" w:cs="仿宋"/>
          <w:sz w:val="28"/>
          <w:szCs w:val="28"/>
        </w:rPr>
        <w:t>9 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_Toc29981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_Toc29227 </w:instrText>
      </w:r>
      <w:r>
        <w:rPr>
          <w:rFonts w:hint="eastAsia" w:ascii="仿宋" w:hAnsi="仿宋" w:eastAsia="仿宋" w:cs="仿宋"/>
          <w:sz w:val="28"/>
          <w:szCs w:val="28"/>
        </w:rPr>
        <w:fldChar w:fldCharType="separate"/>
      </w:r>
      <w:r>
        <w:rPr>
          <w:rFonts w:hint="eastAsia" w:ascii="仿宋" w:hAnsi="仿宋" w:eastAsia="仿宋" w:cs="仿宋"/>
          <w:sz w:val="28"/>
          <w:szCs w:val="28"/>
        </w:rPr>
        <w:t>附件1新城区突发事件应急预案体系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_Toc29227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_Toc22127 </w:instrText>
      </w:r>
      <w:r>
        <w:rPr>
          <w:rFonts w:hint="eastAsia" w:ascii="仿宋" w:hAnsi="仿宋" w:eastAsia="仿宋" w:cs="仿宋"/>
          <w:sz w:val="28"/>
          <w:szCs w:val="28"/>
        </w:rPr>
        <w:fldChar w:fldCharType="separate"/>
      </w:r>
      <w:r>
        <w:rPr>
          <w:rFonts w:hint="eastAsia" w:ascii="仿宋" w:hAnsi="仿宋" w:eastAsia="仿宋" w:cs="仿宋"/>
          <w:sz w:val="28"/>
          <w:szCs w:val="28"/>
        </w:rPr>
        <w:t>附件2 新城区突发事件应急预案编制牵头部门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_Toc22127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_Toc14284 </w:instrText>
      </w:r>
      <w:r>
        <w:rPr>
          <w:rFonts w:hint="eastAsia" w:ascii="仿宋" w:hAnsi="仿宋" w:eastAsia="仿宋" w:cs="仿宋"/>
          <w:sz w:val="28"/>
          <w:szCs w:val="28"/>
        </w:rPr>
        <w:fldChar w:fldCharType="separate"/>
      </w:r>
      <w:r>
        <w:rPr>
          <w:rFonts w:hint="eastAsia" w:ascii="仿宋" w:hAnsi="仿宋" w:eastAsia="仿宋" w:cs="仿宋"/>
          <w:sz w:val="28"/>
          <w:szCs w:val="28"/>
        </w:rPr>
        <w:t>附件3 新城区突发事件应急工作流程示意图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_Toc14284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_Toc18413 </w:instrText>
      </w:r>
      <w:r>
        <w:rPr>
          <w:rFonts w:hint="eastAsia" w:ascii="仿宋" w:hAnsi="仿宋" w:eastAsia="仿宋" w:cs="仿宋"/>
          <w:sz w:val="28"/>
          <w:szCs w:val="28"/>
        </w:rPr>
        <w:fldChar w:fldCharType="separate"/>
      </w:r>
      <w:r>
        <w:rPr>
          <w:rFonts w:hint="eastAsia" w:ascii="仿宋" w:hAnsi="仿宋" w:eastAsia="仿宋" w:cs="仿宋"/>
          <w:sz w:val="28"/>
          <w:szCs w:val="28"/>
        </w:rPr>
        <w:t>附件4 新城区应急管理专家组名单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_Toc18413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
        <w:tabs>
          <w:tab w:val="right" w:leader="dot" w:pos="8312"/>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_Toc7887 </w:instrText>
      </w:r>
      <w:r>
        <w:rPr>
          <w:rFonts w:hint="eastAsia" w:ascii="仿宋" w:hAnsi="仿宋" w:eastAsia="仿宋" w:cs="仿宋"/>
          <w:sz w:val="28"/>
          <w:szCs w:val="28"/>
        </w:rPr>
        <w:fldChar w:fldCharType="separate"/>
      </w:r>
      <w:r>
        <w:rPr>
          <w:rFonts w:hint="eastAsia" w:ascii="仿宋" w:hAnsi="仿宋" w:eastAsia="仿宋" w:cs="仿宋"/>
          <w:sz w:val="28"/>
          <w:szCs w:val="28"/>
        </w:rPr>
        <w:t>附件</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_Toc7887 \h </w:instrText>
      </w:r>
      <w:r>
        <w:rPr>
          <w:rFonts w:hint="eastAsia" w:ascii="仿宋" w:hAnsi="仿宋" w:eastAsia="仿宋" w:cs="仿宋"/>
          <w:sz w:val="28"/>
          <w:szCs w:val="28"/>
        </w:rPr>
        <w:fldChar w:fldCharType="separate"/>
      </w:r>
      <w:r>
        <w:rPr>
          <w:rFonts w:hint="eastAsia" w:ascii="仿宋" w:hAnsi="仿宋" w:eastAsia="仿宋" w:cs="仿宋"/>
          <w:sz w:val="28"/>
          <w:szCs w:val="28"/>
        </w:rPr>
        <w:t>78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
        <w:pageBreakBefore w:val="0"/>
        <w:widowControl w:val="0"/>
        <w:kinsoku/>
        <w:wordWrap/>
        <w:overflowPunct/>
        <w:topLinePunct w:val="0"/>
        <w:autoSpaceDE/>
        <w:autoSpaceDN/>
        <w:bidi w:val="0"/>
        <w:adjustRightInd w:val="0"/>
        <w:snapToGrid w:val="0"/>
        <w:spacing w:line="360" w:lineRule="auto"/>
        <w:textAlignment w:val="auto"/>
        <w:rPr>
          <w:szCs w:val="32"/>
        </w:rPr>
        <w:sectPr>
          <w:footerReference r:id="rId3" w:type="default"/>
          <w:pgSz w:w="11906" w:h="16838"/>
          <w:pgMar w:top="1440" w:right="1797" w:bottom="1440" w:left="1797" w:header="851" w:footer="992" w:gutter="0"/>
          <w:pgNumType w:fmt="upperRoman" w:start="1"/>
          <w:cols w:space="425" w:num="1"/>
          <w:docGrid w:type="linesAndChars" w:linePitch="312" w:charSpace="0"/>
        </w:sectPr>
      </w:pPr>
      <w:r>
        <w:rPr>
          <w:rFonts w:hint="eastAsia" w:ascii="仿宋" w:hAnsi="仿宋" w:eastAsia="仿宋" w:cs="仿宋"/>
          <w:szCs w:val="28"/>
        </w:rPr>
        <w:fldChar w:fldCharType="end"/>
      </w:r>
    </w:p>
    <w:p>
      <w:pPr>
        <w:pStyle w:val="2"/>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pPr>
      <w:bookmarkStart w:id="0" w:name="_Toc11502"/>
      <w:r>
        <w:rPr>
          <w:rFonts w:hint="eastAsia"/>
        </w:rPr>
        <w:t>1 总则</w:t>
      </w:r>
      <w:bookmarkEnd w:id="0"/>
    </w:p>
    <w:p>
      <w:pPr>
        <w:pageBreakBefore w:val="0"/>
        <w:widowControl w:val="0"/>
        <w:kinsoku/>
        <w:wordWrap/>
        <w:overflowPunct/>
        <w:topLinePunct w:val="0"/>
        <w:autoSpaceDE/>
        <w:autoSpaceDN/>
        <w:bidi w:val="0"/>
        <w:spacing w:line="360" w:lineRule="auto"/>
        <w:ind w:firstLine="640" w:firstLineChars="200"/>
        <w:textAlignment w:val="auto"/>
      </w:pPr>
      <w:r>
        <w:rPr>
          <w:rFonts w:hint="eastAsia"/>
        </w:rPr>
        <w:t>以习近平新时代中国特色社会主义思想为指导，深入贯彻落实习近平总书记关于应急管理</w:t>
      </w:r>
      <w:r>
        <w:rPr>
          <w:rFonts w:hint="eastAsia"/>
          <w:lang w:val="en-US" w:eastAsia="zh-CN"/>
        </w:rPr>
        <w:t>工作</w:t>
      </w:r>
      <w:r>
        <w:rPr>
          <w:rFonts w:hint="eastAsia"/>
        </w:rPr>
        <w:t>重要论述，坚决防范化解各类风险，有效应对各类突发事件，保障人民群众生命财产安全和维护社会稳定，依据《中华人民共和国突发事件应对法》《国家突发事件总体应急预案》《突发事件应急预案管理办法》《内蒙古自治区突发事件总体应急预案（试行）》《呼和浩特市突发事件总体应急预案》等有关法律法规和文件，结合新城区突发事件应对工作实际，制定本预案。</w:t>
      </w:r>
    </w:p>
    <w:p>
      <w:pPr>
        <w:pStyle w:val="3"/>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pPr>
      <w:bookmarkStart w:id="1" w:name="_Toc30284"/>
      <w:r>
        <w:rPr>
          <w:rFonts w:hint="eastAsia"/>
        </w:rPr>
        <w:t>1.1 适用范围</w:t>
      </w:r>
      <w:bookmarkEnd w:id="1"/>
    </w:p>
    <w:p>
      <w:pPr>
        <w:pageBreakBefore w:val="0"/>
        <w:widowControl w:val="0"/>
        <w:kinsoku/>
        <w:wordWrap/>
        <w:overflowPunct/>
        <w:topLinePunct w:val="0"/>
        <w:autoSpaceDE/>
        <w:autoSpaceDN/>
        <w:bidi w:val="0"/>
        <w:spacing w:line="360" w:lineRule="auto"/>
        <w:ind w:firstLine="640" w:firstLineChars="200"/>
        <w:textAlignment w:val="auto"/>
      </w:pPr>
      <w:r>
        <w:rPr>
          <w:rFonts w:hint="eastAsia"/>
        </w:rPr>
        <w:t>本预案是新城区防范应对各类突发事件的总纲，用于指导新城区突发事件的风险防控、应急准备、监测预警、应对处置、恢复重建等工作。</w:t>
      </w:r>
    </w:p>
    <w:p>
      <w:pPr>
        <w:pageBreakBefore w:val="0"/>
        <w:widowControl w:val="0"/>
        <w:kinsoku/>
        <w:wordWrap/>
        <w:overflowPunct/>
        <w:topLinePunct w:val="0"/>
        <w:autoSpaceDE/>
        <w:autoSpaceDN/>
        <w:bidi w:val="0"/>
        <w:spacing w:line="360" w:lineRule="auto"/>
        <w:ind w:firstLine="640" w:firstLineChars="200"/>
        <w:textAlignment w:val="auto"/>
      </w:pPr>
      <w:r>
        <w:rPr>
          <w:rFonts w:hint="eastAsia"/>
        </w:rPr>
        <w:t>本预案所称突发事件，是指突然发生，造成或者可能造成严重社会危害，需要采取应急措施予以应对处置的自然灾害、事故灾难、公共卫生事件和社会安全事件。</w:t>
      </w:r>
    </w:p>
    <w:p>
      <w:pPr>
        <w:pStyle w:val="3"/>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rPr>
          <w:rFonts w:hint="eastAsia"/>
        </w:rPr>
      </w:pPr>
      <w:bookmarkStart w:id="2" w:name="_Toc18014"/>
      <w:r>
        <w:rPr>
          <w:rFonts w:hint="eastAsia"/>
        </w:rPr>
        <w:t>1.2 新城区突发事件的特点</w:t>
      </w:r>
      <w:bookmarkEnd w:id="2"/>
    </w:p>
    <w:p>
      <w:pPr>
        <w:pageBreakBefore w:val="0"/>
        <w:widowControl w:val="0"/>
        <w:kinsoku/>
        <w:wordWrap/>
        <w:overflowPunct/>
        <w:topLinePunct w:val="0"/>
        <w:autoSpaceDE/>
        <w:autoSpaceDN/>
        <w:bidi w:val="0"/>
        <w:spacing w:line="360" w:lineRule="auto"/>
        <w:ind w:firstLine="640" w:firstLineChars="200"/>
        <w:textAlignment w:val="auto"/>
        <w:rPr>
          <w:rFonts w:ascii="微软雅黑" w:hAnsi="微软雅黑" w:eastAsia="微软雅黑" w:cs="微软雅黑"/>
          <w:color w:val="2F2F2F"/>
          <w:sz w:val="16"/>
          <w:szCs w:val="16"/>
        </w:rPr>
      </w:pPr>
      <w:r>
        <w:rPr>
          <w:rFonts w:hint="eastAsia"/>
        </w:rPr>
        <w:t>新城区处于首府呼和浩特市的东北部，地域辽阔，水旱灾、雪灾、雹灾、沙尘暴、低温冻害（寒潮、霜冻）时有发生，森林草原火灾、事故灾难风险多，公共卫生事件防控任务重，突发事件预测、预防和救援难度较大。随着经济的快速发展，突发事件</w:t>
      </w:r>
      <w:r>
        <w:rPr>
          <w:rFonts w:hint="eastAsia"/>
          <w:lang w:val="en-US" w:eastAsia="zh-CN"/>
        </w:rPr>
        <w:t>处置需求</w:t>
      </w:r>
      <w:r>
        <w:rPr>
          <w:rFonts w:hint="eastAsia"/>
        </w:rPr>
        <w:t>凸显，应急形势严峻，科学有效及时应对各种突发事件，是我们面临的长期任务。</w:t>
      </w:r>
    </w:p>
    <w:p>
      <w:pPr>
        <w:pStyle w:val="3"/>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rPr>
          <w:rFonts w:hint="eastAsia"/>
        </w:rPr>
      </w:pPr>
      <w:bookmarkStart w:id="3" w:name="_Toc13781"/>
      <w:r>
        <w:rPr>
          <w:rFonts w:hint="eastAsia"/>
        </w:rPr>
        <w:t>1.3 工作原则</w:t>
      </w:r>
      <w:bookmarkEnd w:id="3"/>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ascii="仿宋_GB2312" w:hAnsi="仿宋_GB2312" w:cs="仿宋_GB2312"/>
          <w:bCs/>
          <w:szCs w:val="32"/>
        </w:rPr>
        <w:t>（1）坚持以人为本、生命至上的原则。坚持底线思维，把确保人民群众生命财产安全放在至高无上的位置，提高防范意识，有效控制危机，力争实现早发现、早报告、早控制、早解决。在突发事件应对中以避免和减少人员伤亡为首要出发点，积极预防和最大限度地减少突发事件对人民群众的危害</w:t>
      </w:r>
      <w:r>
        <w:rPr>
          <w:rFonts w:hint="eastAsia"/>
        </w:rPr>
        <w:t>。</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cs="仿宋_GB2312"/>
          <w:bCs/>
          <w:szCs w:val="32"/>
        </w:rPr>
      </w:pPr>
      <w:r>
        <w:rPr>
          <w:rFonts w:hint="eastAsia" w:ascii="仿宋_GB2312" w:hAnsi="仿宋_GB2312" w:cs="仿宋_GB2312"/>
          <w:bCs/>
          <w:szCs w:val="32"/>
        </w:rPr>
        <w:t>（2）坚持统一领导、综合协调的原则。在新城区区委和</w:t>
      </w:r>
      <w:r>
        <w:rPr>
          <w:rFonts w:hint="eastAsia" w:ascii="仿宋_GB2312" w:hAnsi="仿宋_GB2312" w:cs="仿宋_GB2312"/>
          <w:bCs/>
          <w:szCs w:val="32"/>
          <w:lang w:val="en-US" w:eastAsia="zh-CN"/>
        </w:rPr>
        <w:t>区</w:t>
      </w:r>
      <w:r>
        <w:rPr>
          <w:rFonts w:hint="eastAsia" w:ascii="仿宋_GB2312" w:hAnsi="仿宋_GB2312" w:cs="仿宋_GB2312"/>
          <w:bCs/>
          <w:szCs w:val="32"/>
        </w:rPr>
        <w:t>政府统一领导下，充分发挥应急管理部门统筹协调作用和行业主管部门分类管理作用，衔接好</w:t>
      </w:r>
      <w:r>
        <w:rPr>
          <w:rFonts w:hint="eastAsia" w:ascii="仿宋_GB2312" w:hAnsi="仿宋_GB2312" w:cs="仿宋_GB2312"/>
          <w:bCs/>
          <w:szCs w:val="32"/>
          <w:lang w:eastAsia="zh-CN"/>
        </w:rPr>
        <w:t>“</w:t>
      </w:r>
      <w:r>
        <w:rPr>
          <w:rFonts w:hint="eastAsia" w:ascii="仿宋_GB2312" w:hAnsi="仿宋_GB2312" w:cs="仿宋_GB2312"/>
          <w:bCs/>
          <w:szCs w:val="32"/>
        </w:rPr>
        <w:t>防</w:t>
      </w:r>
      <w:r>
        <w:rPr>
          <w:rFonts w:hint="eastAsia" w:ascii="仿宋_GB2312" w:hAnsi="仿宋_GB2312" w:cs="仿宋_GB2312"/>
          <w:bCs/>
          <w:szCs w:val="32"/>
          <w:lang w:eastAsia="zh-CN"/>
        </w:rPr>
        <w:t>、</w:t>
      </w:r>
      <w:r>
        <w:rPr>
          <w:rFonts w:hint="eastAsia" w:ascii="仿宋_GB2312" w:hAnsi="仿宋_GB2312" w:cs="仿宋_GB2312"/>
          <w:bCs/>
          <w:szCs w:val="32"/>
        </w:rPr>
        <w:t>抗</w:t>
      </w:r>
      <w:r>
        <w:rPr>
          <w:rFonts w:hint="eastAsia" w:ascii="仿宋_GB2312" w:hAnsi="仿宋_GB2312" w:cs="仿宋_GB2312"/>
          <w:bCs/>
          <w:szCs w:val="32"/>
          <w:lang w:eastAsia="zh-CN"/>
        </w:rPr>
        <w:t>、</w:t>
      </w:r>
      <w:r>
        <w:rPr>
          <w:rFonts w:hint="eastAsia" w:ascii="仿宋_GB2312" w:hAnsi="仿宋_GB2312" w:cs="仿宋_GB2312"/>
          <w:bCs/>
          <w:szCs w:val="32"/>
        </w:rPr>
        <w:t>救</w:t>
      </w:r>
      <w:r>
        <w:rPr>
          <w:rFonts w:hint="eastAsia" w:ascii="仿宋_GB2312" w:hAnsi="仿宋_GB2312" w:cs="仿宋_GB2312"/>
          <w:bCs/>
          <w:szCs w:val="32"/>
          <w:lang w:eastAsia="zh-CN"/>
        </w:rPr>
        <w:t>”</w:t>
      </w:r>
      <w:r>
        <w:rPr>
          <w:rFonts w:hint="eastAsia" w:ascii="仿宋_GB2312" w:hAnsi="仿宋_GB2312" w:cs="仿宋_GB2312"/>
          <w:bCs/>
          <w:szCs w:val="32"/>
        </w:rPr>
        <w:t>的责任链条，形成整体合力，加快构建统一指挥、专常兼备、反应灵敏、上下联动、平战结合的应急管理体制，推进应急管理体系和能力现代化。</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rPr>
      </w:pPr>
      <w:r>
        <w:rPr>
          <w:rFonts w:hint="eastAsia" w:ascii="仿宋_GB2312" w:hAnsi="仿宋_GB2312" w:cs="仿宋_GB2312"/>
          <w:bCs/>
          <w:szCs w:val="32"/>
        </w:rPr>
        <w:t>（</w:t>
      </w:r>
      <w:r>
        <w:rPr>
          <w:rFonts w:hint="eastAsia" w:ascii="仿宋" w:hAnsi="仿宋" w:eastAsia="仿宋" w:cs="仿宋"/>
        </w:rPr>
        <w:t>3</w:t>
      </w:r>
      <w:r>
        <w:rPr>
          <w:rFonts w:hint="eastAsia"/>
        </w:rPr>
        <w:t>）坚持运转高效、措施果断的原则。建立情报会商、</w:t>
      </w:r>
      <w:r>
        <w:rPr>
          <w:rFonts w:hint="eastAsia"/>
          <w:color w:val="auto"/>
        </w:rPr>
        <w:t>预警预报和快速反应机制，加强情报会商和分析研判，按照早发现、早报告、早处置的工作要求，</w:t>
      </w:r>
      <w:r>
        <w:rPr>
          <w:rFonts w:hint="default"/>
          <w:color w:val="auto"/>
        </w:rPr>
        <w:t>突发事件发生后，根据</w:t>
      </w:r>
      <w:r>
        <w:rPr>
          <w:rFonts w:hint="eastAsia"/>
          <w:color w:val="auto"/>
          <w:lang w:val="en-US" w:eastAsia="zh-CN"/>
        </w:rPr>
        <w:t>突发</w:t>
      </w:r>
      <w:r>
        <w:rPr>
          <w:rFonts w:hint="default"/>
          <w:color w:val="auto"/>
        </w:rPr>
        <w:t>事件级别，</w:t>
      </w:r>
      <w:r>
        <w:rPr>
          <w:rFonts w:hint="eastAsia"/>
          <w:color w:val="auto"/>
        </w:rPr>
        <w:t>立即启动相应的应急预案，凡是预案涉及的部门</w:t>
      </w:r>
      <w:r>
        <w:rPr>
          <w:rFonts w:hint="eastAsia"/>
          <w:color w:val="auto"/>
          <w:lang w:eastAsia="zh-CN"/>
        </w:rPr>
        <w:t>、</w:t>
      </w:r>
      <w:r>
        <w:rPr>
          <w:rFonts w:hint="eastAsia"/>
          <w:color w:val="auto"/>
        </w:rPr>
        <w:t>镇</w:t>
      </w:r>
      <w:r>
        <w:rPr>
          <w:rFonts w:hint="eastAsia"/>
          <w:color w:val="auto"/>
          <w:lang w:eastAsia="zh-CN"/>
        </w:rPr>
        <w:t>（</w:t>
      </w:r>
      <w:r>
        <w:rPr>
          <w:rFonts w:hint="eastAsia"/>
          <w:color w:val="auto"/>
          <w:lang w:val="en-US" w:eastAsia="zh-CN"/>
        </w:rPr>
        <w:t>街道</w:t>
      </w:r>
      <w:r>
        <w:rPr>
          <w:rFonts w:hint="eastAsia"/>
          <w:lang w:eastAsia="zh-CN"/>
        </w:rPr>
        <w:t>）</w:t>
      </w:r>
      <w:r>
        <w:rPr>
          <w:rFonts w:hint="eastAsia"/>
        </w:rPr>
        <w:t>、</w:t>
      </w:r>
      <w:r>
        <w:rPr>
          <w:rFonts w:hint="eastAsia"/>
          <w:lang w:val="en-US" w:eastAsia="zh-CN"/>
        </w:rPr>
        <w:t>区域服务中心</w:t>
      </w:r>
      <w:r>
        <w:rPr>
          <w:rFonts w:hint="eastAsia"/>
        </w:rPr>
        <w:t>要快速反应、迅速出动，在短时间内夺取突发事件处置工作的胜利。</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（4）坚持依法应对、科技支撑的原则。健全完善各类力量快速反应、联动协调机制，高效应对各类突发事件。强化应急装备技术支撑，依靠科技，提高应对突发事件的科学化、专业化、智能化水平。</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（5）坚持信息公开、正确引导的原则。及时、准确、客观、统一发布权威信息，认真回应社会关切，正确引导舆论。充分发挥新闻媒体的作用，提高宣传的导向性、针对性和有效性。</w:t>
      </w:r>
    </w:p>
    <w:p>
      <w:pPr>
        <w:pStyle w:val="3"/>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rPr>
          <w:rFonts w:hint="eastAsia"/>
        </w:rPr>
      </w:pPr>
      <w:bookmarkStart w:id="4" w:name="_Toc23511"/>
      <w:r>
        <w:rPr>
          <w:rFonts w:hint="eastAsia"/>
        </w:rPr>
        <w:t>1.4 突发事件分类分级</w:t>
      </w:r>
      <w:bookmarkEnd w:id="4"/>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jc w:val="both"/>
        <w:textAlignment w:val="auto"/>
        <w:rPr>
          <w:rFonts w:hint="eastAsia" w:ascii="仿宋_GB2312" w:hAnsi="仿宋_GB2312" w:eastAsia="仿宋_GB2312" w:cs="仿宋_GB2312"/>
          <w:szCs w:val="22"/>
        </w:rPr>
      </w:pPr>
      <w:bookmarkStart w:id="5" w:name="_Toc5846"/>
      <w:bookmarkStart w:id="6" w:name="_Toc25448"/>
      <w:bookmarkStart w:id="7" w:name="_Toc6704"/>
      <w:bookmarkStart w:id="8" w:name="_Toc26740"/>
      <w:bookmarkStart w:id="9" w:name="_Toc25911"/>
      <w:bookmarkStart w:id="10" w:name="_Toc1840"/>
      <w:bookmarkStart w:id="11" w:name="_Toc11244"/>
      <w:bookmarkStart w:id="12" w:name="_Toc14375"/>
      <w:bookmarkStart w:id="13" w:name="_Toc25535"/>
      <w:bookmarkStart w:id="14" w:name="_Toc26535"/>
      <w:bookmarkStart w:id="15" w:name="_Toc4689"/>
      <w:bookmarkStart w:id="16" w:name="_Toc25829"/>
      <w:r>
        <w:rPr>
          <w:rFonts w:hint="eastAsia" w:ascii="仿宋_GB2312" w:hAnsi="仿宋_GB2312" w:eastAsia="仿宋_GB2312" w:cs="仿宋_GB2312"/>
          <w:szCs w:val="22"/>
        </w:rPr>
        <w:t>1.4.1 突发事件分类</w:t>
      </w:r>
      <w:bookmarkEnd w:id="5"/>
      <w:bookmarkEnd w:id="6"/>
      <w:bookmarkEnd w:id="7"/>
      <w:bookmarkEnd w:id="8"/>
      <w:bookmarkEnd w:id="9"/>
      <w:bookmarkEnd w:id="10"/>
      <w:bookmarkEnd w:id="11"/>
      <w:bookmarkEnd w:id="12"/>
      <w:bookmarkEnd w:id="13"/>
      <w:bookmarkEnd w:id="14"/>
      <w:bookmarkEnd w:id="15"/>
      <w:bookmarkEnd w:id="16"/>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本预案所称突发事件是指突然发生，造成或者可能造成严重社会危害，需要采取应急措施予以应对处置的自然灾害、事故灾难、公共卫生事件和社会安全事件。</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根据突发事件的发生过程、性质和机理，新城区突发事件主要分为以下四类：</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（1）自然灾害。主要包括水旱灾害、气象灾害、地震灾害、地质灾害、生物灾害和森林草原火灾等。</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（2）事故灾难。主要包括工矿商贸等企业的各类</w:t>
      </w:r>
      <w:r>
        <w:rPr>
          <w:rFonts w:hint="eastAsia" w:ascii="仿宋_GB2312" w:hAnsi="仿宋_GB2312" w:eastAsia="仿宋_GB2312" w:cs="仿宋_GB2312"/>
          <w:lang w:val="en-US" w:eastAsia="zh-CN"/>
        </w:rPr>
        <w:t>生产</w:t>
      </w:r>
      <w:r>
        <w:rPr>
          <w:rFonts w:hint="eastAsia" w:ascii="仿宋_GB2312" w:hAnsi="仿宋_GB2312" w:eastAsia="仿宋_GB2312" w:cs="仿宋_GB2312"/>
        </w:rPr>
        <w:t>安全事故、产品质量事故、交通运输事故、公共设施和设备事故、核与辐射事故、环境污染和生态破坏事件等。</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sz w:val="32"/>
          <w:szCs w:val="32"/>
        </w:rPr>
        <w:t>（3）公共卫生事件。</w:t>
      </w:r>
      <w:r>
        <w:rPr>
          <w:rFonts w:hint="eastAsia" w:ascii="仿宋_GB2312" w:hAnsi="仿宋_GB2312" w:eastAsia="仿宋_GB2312" w:cs="仿宋_GB2312"/>
          <w:color w:val="000000"/>
          <w:kern w:val="0"/>
          <w:sz w:val="32"/>
          <w:szCs w:val="32"/>
          <w:lang w:bidi="ar"/>
        </w:rPr>
        <w:t>主要包括传染病疫情、群体性不明原因疾病、急性中毒事件、食品药品安全事件、食用农畜产品质量安全事件、动物疫情及其他严重影响公众健康和生命安全的事件等。</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sz w:val="32"/>
          <w:szCs w:val="32"/>
        </w:rPr>
        <w:t>（4）社会安全事件。</w:t>
      </w:r>
      <w:r>
        <w:rPr>
          <w:rFonts w:hint="eastAsia" w:ascii="仿宋_GB2312" w:hAnsi="仿宋_GB2312" w:eastAsia="仿宋_GB2312" w:cs="仿宋_GB2312"/>
          <w:color w:val="000000"/>
          <w:kern w:val="0"/>
          <w:sz w:val="32"/>
          <w:szCs w:val="32"/>
          <w:lang w:bidi="ar"/>
        </w:rPr>
        <w:t>主要包括恐怖袭击事件、刑事案件、群体性事件、油气供应中断突发事件、金融突发事件、涉外突发事件、民族宗教事件、网络与信息安全事件等</w:t>
      </w:r>
      <w:r>
        <w:rPr>
          <w:rFonts w:hint="eastAsia" w:ascii="仿宋_GB2312" w:hAnsi="仿宋_GB2312" w:eastAsia="仿宋_GB2312" w:cs="仿宋_GB2312"/>
          <w:sz w:val="32"/>
          <w:szCs w:val="32"/>
        </w:rPr>
        <w:t>。</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jc w:val="both"/>
        <w:textAlignment w:val="auto"/>
        <w:rPr>
          <w:rFonts w:hint="eastAsia" w:ascii="仿宋_GB2312" w:hAnsi="仿宋_GB2312" w:eastAsia="仿宋_GB2312" w:cs="仿宋_GB2312"/>
          <w:szCs w:val="22"/>
        </w:rPr>
      </w:pPr>
      <w:bookmarkStart w:id="17" w:name="_Toc28314"/>
      <w:bookmarkStart w:id="18" w:name="_Toc5966"/>
      <w:bookmarkStart w:id="19" w:name="_Toc25649"/>
      <w:bookmarkStart w:id="20" w:name="_Toc30965"/>
      <w:bookmarkStart w:id="21" w:name="_Toc785"/>
      <w:bookmarkStart w:id="22" w:name="_Toc32713"/>
      <w:bookmarkStart w:id="23" w:name="_Toc19440"/>
      <w:bookmarkStart w:id="24" w:name="_Toc14852"/>
      <w:bookmarkStart w:id="25" w:name="_Toc18994"/>
      <w:bookmarkStart w:id="26" w:name="_Toc9302"/>
      <w:bookmarkStart w:id="27" w:name="_Toc9393"/>
      <w:bookmarkStart w:id="28" w:name="_Toc3523"/>
      <w:r>
        <w:rPr>
          <w:rFonts w:hint="eastAsia" w:ascii="仿宋_GB2312" w:hAnsi="仿宋_GB2312" w:eastAsia="仿宋_GB2312" w:cs="仿宋_GB2312"/>
          <w:szCs w:val="22"/>
        </w:rPr>
        <w:t>1.4.2 突发事件分级</w:t>
      </w:r>
      <w:bookmarkEnd w:id="17"/>
      <w:bookmarkEnd w:id="18"/>
      <w:bookmarkEnd w:id="19"/>
      <w:bookmarkEnd w:id="20"/>
      <w:bookmarkEnd w:id="21"/>
      <w:bookmarkEnd w:id="22"/>
      <w:bookmarkEnd w:id="23"/>
      <w:bookmarkEnd w:id="24"/>
      <w:bookmarkEnd w:id="25"/>
      <w:bookmarkEnd w:id="26"/>
      <w:bookmarkEnd w:id="27"/>
      <w:bookmarkEnd w:id="28"/>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bCs/>
          <w:szCs w:val="32"/>
        </w:rPr>
      </w:pPr>
      <w:r>
        <w:rPr>
          <w:rFonts w:hint="eastAsia" w:ascii="仿宋_GB2312" w:hAnsi="仿宋_GB2312" w:eastAsia="仿宋_GB2312" w:cs="仿宋_GB2312"/>
          <w:bCs/>
          <w:szCs w:val="32"/>
        </w:rPr>
        <w:t>各类突发事件按照其性质、造成损失、危害程度、可控性和影响范围等因素，由高到低划分为特别重大、重大、较大、一般四个级别</w:t>
      </w:r>
      <w:r>
        <w:rPr>
          <w:rFonts w:hint="eastAsia" w:ascii="仿宋_GB2312" w:hAnsi="仿宋_GB2312" w:eastAsia="仿宋_GB2312" w:cs="仿宋_GB2312"/>
        </w:rPr>
        <w:t>，分别对应为一级、二级、三级、四级。</w:t>
      </w:r>
      <w:r>
        <w:rPr>
          <w:rFonts w:hint="eastAsia" w:ascii="仿宋_GB2312" w:hAnsi="仿宋_GB2312" w:eastAsia="仿宋_GB2312" w:cs="仿宋_GB2312"/>
          <w:bCs/>
          <w:szCs w:val="32"/>
        </w:rPr>
        <w:t>各类突发事件具体分级标准执行国家有关规定，并在相应的专项应急预案、部门应急预案中予以明确。</w:t>
      </w:r>
    </w:p>
    <w:p>
      <w:pPr>
        <w:pStyle w:val="3"/>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rPr>
          <w:rFonts w:hint="eastAsia"/>
        </w:rPr>
      </w:pPr>
      <w:bookmarkStart w:id="29" w:name="_Toc284"/>
      <w:r>
        <w:rPr>
          <w:rFonts w:hint="eastAsia"/>
        </w:rPr>
        <w:t>1.5 分级应对与响应分级</w:t>
      </w:r>
      <w:bookmarkEnd w:id="29"/>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color w:val="auto"/>
          <w:kern w:val="2"/>
          <w:sz w:val="32"/>
          <w:szCs w:val="32"/>
          <w:lang w:bidi="ar-SA"/>
        </w:rPr>
        <w:t>1.5.1 分级应对</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突发事件应对遵循分级负责、属地为主、分类应对、协调联动的原则。发生一般突发事件由新城区人民政府应对；发生较大以上突发事件，由自治区人民政府、市人民政府组织应对，新城区人民政府做好应急保障等方面工作；涉及跨市、旗县级行政区域的，超出新城区人民政府应对能力的，由市人民政府组织应对。</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1.5.</w:t>
      </w: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 xml:space="preserve"> 响应分级</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color w:val="000000"/>
          <w:kern w:val="0"/>
          <w:sz w:val="32"/>
          <w:szCs w:val="32"/>
          <w:lang w:bidi="ar"/>
        </w:rPr>
        <w:t>突发事件发生后，各级人民政府及有关部门、单位和基层组织等根据突发事件初判级别、预期影响后果和本级应急处置能力等，综合研判确定本层级是否启动响应和启动响应的级别及采取的应急处置措施。对于事件本身比较敏感，或者引发舆论热议和社会各界高度关注，或者发生在重点地区、重要会议及重大活动期间的，可适当提高响应级别。应急响应启动后，可视</w:t>
      </w:r>
      <w:r>
        <w:rPr>
          <w:rFonts w:hint="eastAsia" w:ascii="仿宋_GB2312" w:hAnsi="仿宋_GB2312" w:eastAsia="仿宋_GB2312" w:cs="仿宋_GB2312"/>
          <w:color w:val="000000"/>
          <w:kern w:val="0"/>
          <w:sz w:val="32"/>
          <w:szCs w:val="32"/>
          <w:lang w:val="en-US" w:eastAsia="zh-CN" w:bidi="ar"/>
        </w:rPr>
        <w:t>情况</w:t>
      </w:r>
      <w:r>
        <w:rPr>
          <w:rFonts w:hint="eastAsia" w:ascii="仿宋_GB2312" w:hAnsi="仿宋_GB2312" w:eastAsia="仿宋_GB2312" w:cs="仿宋_GB2312"/>
          <w:color w:val="000000"/>
          <w:kern w:val="0"/>
          <w:sz w:val="32"/>
          <w:szCs w:val="32"/>
          <w:lang w:bidi="ar"/>
        </w:rPr>
        <w:t>调整响应级别。</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新城区一级响应、二级响应，由新城区区委和</w:t>
      </w:r>
      <w:r>
        <w:rPr>
          <w:rFonts w:hint="eastAsia" w:ascii="仿宋_GB2312" w:hAnsi="仿宋_GB2312" w:eastAsia="仿宋_GB2312" w:cs="仿宋_GB2312"/>
          <w:color w:val="000000"/>
          <w:kern w:val="0"/>
          <w:sz w:val="32"/>
          <w:szCs w:val="32"/>
          <w:lang w:val="en-US" w:eastAsia="zh-CN" w:bidi="ar"/>
        </w:rPr>
        <w:t>区</w:t>
      </w:r>
      <w:r>
        <w:rPr>
          <w:rFonts w:hint="eastAsia" w:ascii="仿宋_GB2312" w:hAnsi="仿宋_GB2312" w:eastAsia="仿宋_GB2312" w:cs="仿宋_GB2312"/>
          <w:color w:val="000000"/>
          <w:kern w:val="0"/>
          <w:sz w:val="32"/>
          <w:szCs w:val="32"/>
          <w:lang w:bidi="ar"/>
        </w:rPr>
        <w:t>政府决定启动，一般应对特别重大、重大突发事件，总指挥由新城区区委、</w:t>
      </w:r>
      <w:r>
        <w:rPr>
          <w:rFonts w:hint="eastAsia" w:ascii="仿宋_GB2312" w:hAnsi="仿宋_GB2312" w:eastAsia="仿宋_GB2312" w:cs="仿宋_GB2312"/>
          <w:color w:val="000000"/>
          <w:kern w:val="0"/>
          <w:sz w:val="32"/>
          <w:szCs w:val="32"/>
          <w:lang w:val="en-US" w:eastAsia="zh-CN" w:bidi="ar"/>
        </w:rPr>
        <w:t>区</w:t>
      </w:r>
      <w:r>
        <w:rPr>
          <w:rFonts w:hint="eastAsia" w:ascii="仿宋_GB2312" w:hAnsi="仿宋_GB2312" w:eastAsia="仿宋_GB2312" w:cs="仿宋_GB2312"/>
          <w:color w:val="000000"/>
          <w:kern w:val="0"/>
          <w:sz w:val="32"/>
          <w:szCs w:val="32"/>
          <w:lang w:bidi="ar"/>
        </w:rPr>
        <w:t>政府主要负责同志或指定有关负责同志担任。</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新城区三级响应，由新城区人民政府决定启动，一般应对较大突发事件，总指挥由新城区人民政府有关负责同志担任。</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新城区四级响应，由新城区专项指挥部决定启动，应对一般突发事件，总指挥由新城区人民政府有关负责同志担任。</w:t>
      </w:r>
    </w:p>
    <w:p>
      <w:pPr>
        <w:pStyle w:val="3"/>
        <w:keepNext/>
        <w:keepLines/>
        <w:pageBreakBefore w:val="0"/>
        <w:widowControl w:val="0"/>
        <w:kinsoku/>
        <w:wordWrap/>
        <w:overflowPunct/>
        <w:topLinePunct w:val="0"/>
        <w:autoSpaceDE/>
        <w:autoSpaceDN/>
        <w:bidi w:val="0"/>
        <w:adjustRightInd w:val="0"/>
        <w:snapToGrid w:val="0"/>
        <w:spacing w:before="157" w:beforeLines="50" w:after="10" w:line="360" w:lineRule="auto"/>
        <w:ind w:firstLine="640" w:firstLineChars="200"/>
        <w:textAlignment w:val="auto"/>
        <w:rPr>
          <w:rFonts w:hint="eastAsia"/>
        </w:rPr>
      </w:pPr>
      <w:bookmarkStart w:id="30" w:name="_Toc22710"/>
      <w:r>
        <w:rPr>
          <w:rFonts w:hint="eastAsia"/>
        </w:rPr>
        <w:t>1.6 应急预案体系</w:t>
      </w:r>
      <w:bookmarkEnd w:id="30"/>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hAnsi="仿宋_GB2312" w:cs="仿宋_GB2312"/>
          <w:bCs/>
          <w:szCs w:val="32"/>
        </w:rPr>
      </w:pPr>
      <w:r>
        <w:rPr>
          <w:rFonts w:hint="eastAsia" w:ascii="仿宋_GB2312" w:hAnsi="仿宋_GB2312" w:cs="仿宋_GB2312"/>
          <w:bCs/>
          <w:szCs w:val="32"/>
        </w:rPr>
        <w:t>新城区应急预案体系由总体应急预案、专项应急预案、部门应急预案、基层应急预案以及应急预案支撑性文件等组成。</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hAnsi="仿宋_GB2312" w:cs="仿宋_GB2312"/>
          <w:bCs/>
          <w:szCs w:val="32"/>
        </w:rPr>
      </w:pPr>
      <w:r>
        <w:rPr>
          <w:rFonts w:hint="eastAsia" w:ascii="仿宋_GB2312" w:hAnsi="仿宋_GB2312" w:cs="仿宋_GB2312"/>
          <w:bCs/>
          <w:szCs w:val="32"/>
        </w:rPr>
        <w:t>（1）突发事件总体应急预案，是应急预案体系总纲，是本级人民政府组织应对突发事件的总体制度安排。</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hAnsi="仿宋_GB2312" w:cs="仿宋_GB2312"/>
          <w:bCs/>
          <w:szCs w:val="32"/>
        </w:rPr>
      </w:pPr>
      <w:r>
        <w:rPr>
          <w:rFonts w:hint="eastAsia" w:ascii="仿宋_GB2312" w:hAnsi="仿宋_GB2312" w:cs="仿宋_GB2312"/>
          <w:bCs/>
          <w:szCs w:val="32"/>
        </w:rPr>
        <w:t>（2）突发事件专项应急预案，是本级人民政府为应对某一类型或者某几种类型突发事件，或者针对重要目标物保护、重大活动保障、应急资源保障等重要工作而预先制定的涉及多个部门职责的专项工作方案。</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hAnsi="仿宋_GB2312" w:cs="仿宋_GB2312"/>
          <w:bCs/>
          <w:szCs w:val="32"/>
        </w:rPr>
      </w:pPr>
      <w:r>
        <w:rPr>
          <w:rFonts w:hint="eastAsia" w:ascii="仿宋_GB2312" w:hAnsi="仿宋_GB2312" w:cs="仿宋_GB2312"/>
          <w:bCs/>
          <w:szCs w:val="32"/>
        </w:rPr>
        <w:t>（3）突发事件部门应急预案，是本级人民政府有关部门根据总体应急预案、专项应急预案和部门职责，为应对本部门、本行业、本领域突发事件，或者针对重要目标物保护、重大活动保障、应急资源保障等而预先制定的</w:t>
      </w:r>
      <w:r>
        <w:rPr>
          <w:rFonts w:hint="eastAsia" w:ascii="仿宋_GB2312" w:hAnsi="仿宋_GB2312" w:cs="仿宋_GB2312"/>
          <w:bCs/>
          <w:szCs w:val="32"/>
          <w:lang w:val="en-US" w:eastAsia="zh-CN"/>
        </w:rPr>
        <w:t>部门</w:t>
      </w:r>
      <w:r>
        <w:rPr>
          <w:rFonts w:hint="eastAsia" w:ascii="仿宋_GB2312" w:hAnsi="仿宋_GB2312" w:cs="仿宋_GB2312"/>
          <w:bCs/>
          <w:szCs w:val="32"/>
        </w:rPr>
        <w:t>工作方案。</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hAnsi="仿宋_GB2312" w:cs="仿宋_GB2312"/>
          <w:bCs/>
          <w:szCs w:val="32"/>
        </w:rPr>
      </w:pPr>
      <w:r>
        <w:rPr>
          <w:rFonts w:hint="eastAsia" w:ascii="仿宋_GB2312" w:hAnsi="仿宋_GB2312" w:cs="仿宋_GB2312"/>
          <w:bCs/>
          <w:szCs w:val="32"/>
        </w:rPr>
        <w:t>（4）单位和基层组织应急预案，是机关、企业、事业单位、社会组织</w:t>
      </w:r>
      <w:r>
        <w:rPr>
          <w:rFonts w:hint="eastAsia" w:ascii="仿宋_GB2312" w:hAnsi="仿宋_GB2312" w:cs="仿宋_GB2312"/>
          <w:bCs/>
          <w:szCs w:val="32"/>
          <w:lang w:eastAsia="zh-CN"/>
        </w:rPr>
        <w:t>、</w:t>
      </w:r>
      <w:r>
        <w:rPr>
          <w:rFonts w:hint="eastAsia" w:ascii="仿宋_GB2312" w:hAnsi="仿宋_GB2312" w:cs="仿宋_GB2312"/>
          <w:bCs/>
          <w:szCs w:val="32"/>
          <w:lang w:val="en-US" w:eastAsia="zh-CN"/>
        </w:rPr>
        <w:t>镇（街道）、区域服务中心和</w:t>
      </w:r>
      <w:r>
        <w:rPr>
          <w:rFonts w:hint="eastAsia" w:ascii="仿宋_GB2312" w:hAnsi="仿宋_GB2312" w:cs="仿宋_GB2312"/>
          <w:bCs/>
          <w:szCs w:val="32"/>
        </w:rPr>
        <w:t>村（居、社区）委会针对本单位和基层组织面临的风险，规范单位和基层组织内部突发事件应对的工作方案。</w:t>
      </w:r>
    </w:p>
    <w:p>
      <w:pPr>
        <w:pageBreakBefore w:val="0"/>
        <w:widowControl w:val="0"/>
        <w:kinsoku/>
        <w:wordWrap/>
        <w:overflowPunct/>
        <w:topLinePunct w:val="0"/>
        <w:autoSpaceDE/>
        <w:autoSpaceDN/>
        <w:bidi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（5）应急预案支撑性文件：</w:t>
      </w:r>
      <w:r>
        <w:rPr>
          <w:rFonts w:hint="eastAsia" w:ascii="仿宋_GB2312" w:hAnsi="仿宋_GB2312" w:eastAsia="仿宋_GB2312" w:cs="仿宋_GB2312"/>
          <w:color w:val="000000"/>
          <w:kern w:val="0"/>
          <w:sz w:val="32"/>
          <w:szCs w:val="32"/>
          <w:lang w:bidi="ar"/>
        </w:rPr>
        <w:t>应急预案中涉及的有关部门和单位要结合实际，制定配套的工作手册、行动方案等支撑性文件，提高应急预案针对性、可操作性。应急预案</w:t>
      </w:r>
      <w:r>
        <w:rPr>
          <w:rFonts w:hint="eastAsia" w:ascii="仿宋_GB2312" w:hAnsi="仿宋_GB2312" w:eastAsia="仿宋_GB2312" w:cs="仿宋_GB2312"/>
          <w:color w:val="000000"/>
          <w:kern w:val="0"/>
          <w:sz w:val="32"/>
          <w:szCs w:val="32"/>
          <w:lang w:val="en-US" w:eastAsia="zh-CN" w:bidi="ar"/>
        </w:rPr>
        <w:t>中</w:t>
      </w:r>
      <w:r>
        <w:rPr>
          <w:rFonts w:hint="eastAsia" w:ascii="仿宋_GB2312" w:hAnsi="仿宋_GB2312" w:eastAsia="仿宋_GB2312" w:cs="仿宋_GB2312"/>
          <w:color w:val="000000"/>
          <w:kern w:val="0"/>
          <w:sz w:val="32"/>
          <w:szCs w:val="32"/>
          <w:lang w:bidi="ar"/>
        </w:rPr>
        <w:t>涉及的有关部门要编制相应工作手册，明确细化每项职责任务、工作内容和流程，并落实到具体责任单位、责任人。单位和基层组织应急预案根据自身实际情况，可单独编制工作手册，或者将有关内容融入预案。</w:t>
      </w:r>
    </w:p>
    <w:p>
      <w:pPr>
        <w:pageBreakBefore w:val="0"/>
        <w:widowControl w:val="0"/>
        <w:kinsoku/>
        <w:wordWrap/>
        <w:overflowPunct/>
        <w:topLinePunct w:val="0"/>
        <w:autoSpaceDE/>
        <w:autoSpaceDN/>
        <w:bidi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参与突发事件应对的救援队伍、专家队伍等按照应急预案、工作手册或者上级指挥机构要求制定行动方案，明确队伍编成、力量预置、指挥协同、行动预想、战勤保障、通信联络等具体内容，以及采取的具体对策措施和实施步骤</w:t>
      </w:r>
      <w:r>
        <w:rPr>
          <w:rFonts w:hint="eastAsia" w:ascii="仿宋_GB2312" w:hAnsi="仿宋_GB2312" w:eastAsia="仿宋_GB2312" w:cs="仿宋_GB2312"/>
          <w:bCs/>
          <w:sz w:val="32"/>
          <w:szCs w:val="32"/>
        </w:rPr>
        <w:t>。</w:t>
      </w:r>
    </w:p>
    <w:p>
      <w:pPr>
        <w:pStyle w:val="2"/>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sz w:val="32"/>
          <w:szCs w:val="32"/>
        </w:rPr>
      </w:pPr>
      <w:bookmarkStart w:id="31" w:name="_Toc21718"/>
      <w:r>
        <w:rPr>
          <w:rFonts w:hint="eastAsia"/>
          <w:sz w:val="32"/>
          <w:szCs w:val="32"/>
        </w:rPr>
        <w:t>2 组织指挥体系</w:t>
      </w:r>
      <w:bookmarkEnd w:id="31"/>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32" w:name="_Toc12702"/>
      <w:r>
        <w:rPr>
          <w:rFonts w:hint="eastAsia"/>
        </w:rPr>
        <w:t>2.1 领导机构</w:t>
      </w:r>
      <w:bookmarkEnd w:id="32"/>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color w:val="FF0000"/>
        </w:rPr>
      </w:pPr>
      <w:r>
        <w:rPr>
          <w:rFonts w:hint="eastAsia" w:ascii="仿宋_GB2312" w:hAnsi="仿宋_GB2312" w:cs="仿宋_GB2312"/>
          <w:bCs/>
          <w:szCs w:val="32"/>
        </w:rPr>
        <w:t>在新城区</w:t>
      </w:r>
      <w:r>
        <w:rPr>
          <w:rFonts w:hint="eastAsia" w:ascii="仿宋_GB2312" w:hAnsi="仿宋_GB2312" w:cs="仿宋_GB2312"/>
          <w:bCs/>
          <w:szCs w:val="32"/>
          <w:lang w:eastAsia="zh-CN"/>
        </w:rPr>
        <w:t>区</w:t>
      </w:r>
      <w:r>
        <w:rPr>
          <w:rFonts w:hint="eastAsia" w:ascii="仿宋_GB2312" w:hAnsi="仿宋_GB2312" w:cs="仿宋_GB2312"/>
          <w:bCs/>
          <w:szCs w:val="32"/>
        </w:rPr>
        <w:t>委领导下</w:t>
      </w:r>
      <w:r>
        <w:rPr>
          <w:rFonts w:hint="eastAsia" w:ascii="仿宋_GB2312" w:hAnsi="仿宋_GB2312" w:cs="仿宋_GB2312"/>
          <w:bCs/>
          <w:szCs w:val="32"/>
          <w:lang w:eastAsia="zh-CN"/>
        </w:rPr>
        <w:t>，</w:t>
      </w:r>
      <w:r>
        <w:rPr>
          <w:rFonts w:hint="eastAsia" w:ascii="仿宋_GB2312" w:hAnsi="仿宋_GB2312" w:cs="仿宋_GB2312"/>
          <w:bCs/>
          <w:szCs w:val="32"/>
        </w:rPr>
        <w:t>区政府是新城区突发事件应急管理工作的行政领导机构，统筹制定新城区应急管理工作发展规划和政策措施，研究部署突发事件应急管理工作，指导区突发事件应对工作。建立完善组织架构及其运行规则，承担相关类别突发事件防范应对指挥工作。</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33" w:name="_Toc23042"/>
      <w:r>
        <w:rPr>
          <w:rFonts w:hint="eastAsia"/>
        </w:rPr>
        <w:t>2.2 工作机构</w:t>
      </w:r>
      <w:bookmarkEnd w:id="33"/>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rPr>
        <w:t>区级相关部门和有关单位按照职责分工负责本部门、本行业领域突发事件应急管理工作，承担相关类别突发事件专项应急预案和部门应急预案的起草与实施，组织协调指导风险防控、应急准备、监测与预警、应急处置与救援、资源保障、恢复与重建等工作</w:t>
      </w:r>
      <w:r>
        <w:rPr>
          <w:rFonts w:hint="eastAsia" w:ascii="仿宋_GB2312" w:hAnsi="仿宋_GB2312" w:cs="仿宋_GB2312"/>
          <w:bCs/>
          <w:szCs w:val="32"/>
        </w:rPr>
        <w:t>。</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34" w:name="_Toc19987"/>
      <w:r>
        <w:rPr>
          <w:rFonts w:hint="eastAsia"/>
        </w:rPr>
        <w:t>2.3 专项突发事件指挥机构</w:t>
      </w:r>
      <w:bookmarkEnd w:id="34"/>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区政府根据突发事件防范应对需求设立若干专项应急指挥机构，负责指挥协调相关类别突发事件应对工作。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各专项应急指挥机构设立办公室承担专项应急指挥机构的日常管理和协调工作。专项应急指挥机构办公室设在对应专项应急管理业务的牵头部门。</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当发生重大、特别重大突发事件，或者发生并发多发事件，或者需要与自治区、呼和浩特市或相邻地区协作应对的突发事件时，区政府成立应急总指挥部负责领导、协调各专项应急指挥机构的工作，执行统一指挥，并接受上级指挥机构的领导。</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应急总指挥部总指挥由区长担任，副总指挥由</w:t>
      </w:r>
      <w:r>
        <w:rPr>
          <w:rFonts w:hint="eastAsia" w:ascii="仿宋_GB2312" w:hAnsi="仿宋_GB2312" w:cs="仿宋_GB2312"/>
          <w:bCs/>
          <w:szCs w:val="32"/>
        </w:rPr>
        <w:t>常务副区长</w:t>
      </w:r>
      <w:r>
        <w:rPr>
          <w:rFonts w:hint="eastAsia"/>
        </w:rPr>
        <w:t>担任，成员由区相关部门、有关单位和事发</w:t>
      </w:r>
      <w:r>
        <w:rPr>
          <w:rFonts w:hint="eastAsia"/>
          <w:lang w:eastAsia="zh-CN"/>
        </w:rPr>
        <w:t>镇（街道）、</w:t>
      </w:r>
      <w:r>
        <w:rPr>
          <w:rFonts w:hint="eastAsia"/>
          <w:lang w:val="en-US" w:eastAsia="zh-CN"/>
        </w:rPr>
        <w:t>区域服务中心</w:t>
      </w:r>
      <w:r>
        <w:rPr>
          <w:rFonts w:hint="eastAsia"/>
        </w:rPr>
        <w:t>主要负责人组成。</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35" w:name="_Toc28119"/>
      <w:r>
        <w:rPr>
          <w:rFonts w:hint="eastAsia"/>
        </w:rPr>
        <w:t>2.4 现场指挥部</w:t>
      </w:r>
      <w:bookmarkEnd w:id="35"/>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突发事件发生后，区政府设立由本级人民政府、相关部门负责人组成的现场指挥部，组织、指挥、协调突发事件现场处置工作。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切实加强党对应急指挥工作的领导，现场指挥部按照《中国共产党支部工作条例（试行）》有关要求，成立临时党组织，开展思想政治工作，发挥战斗堡垒作用。</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36" w:name="_Toc3984"/>
      <w:r>
        <w:rPr>
          <w:rFonts w:hint="eastAsia"/>
        </w:rPr>
        <w:t>2.5 专家组</w:t>
      </w:r>
      <w:bookmarkEnd w:id="36"/>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rPr>
      </w:pPr>
      <w:r>
        <w:rPr>
          <w:rFonts w:hint="eastAsia"/>
        </w:rPr>
        <w:t>区政府及其有关部门、各专项应急指挥机构应建立专家库，制定专家咨询制度，研究突发事件应对等重大问题，提出全局性、前瞻性政策措施建议。根据突发事件应对需要组成专家组，开展突发事件应急处置和救援、调查评估等决策咨询服务工作。</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37" w:name="_Toc2178"/>
      <w:r>
        <w:rPr>
          <w:rFonts w:hint="eastAsia"/>
        </w:rPr>
        <w:t>2.6 基层和社会组织</w:t>
      </w:r>
      <w:bookmarkEnd w:id="37"/>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lang w:eastAsia="zh-CN"/>
        </w:rPr>
        <w:t>镇（街道）、</w:t>
      </w:r>
      <w:r>
        <w:rPr>
          <w:rFonts w:hint="eastAsia" w:ascii="仿宋_GB2312" w:hAnsi="仿宋_GB2312" w:cs="仿宋_GB2312"/>
          <w:bCs/>
          <w:szCs w:val="32"/>
          <w:lang w:val="en-US" w:eastAsia="zh-CN"/>
        </w:rPr>
        <w:t>区域服务中心</w:t>
      </w:r>
      <w:r>
        <w:rPr>
          <w:rFonts w:hint="eastAsia" w:ascii="仿宋_GB2312" w:hAnsi="仿宋_GB2312" w:cs="仿宋_GB2312"/>
          <w:bCs/>
          <w:szCs w:val="32"/>
        </w:rPr>
        <w:t>设立或确定应急管理机构，配备专职工作人员，具体组织实施</w:t>
      </w:r>
      <w:r>
        <w:rPr>
          <w:rFonts w:hint="eastAsia" w:ascii="仿宋_GB2312" w:hAnsi="仿宋_GB2312" w:cs="仿宋_GB2312"/>
          <w:bCs/>
          <w:szCs w:val="32"/>
          <w:lang w:eastAsia="zh-CN"/>
        </w:rPr>
        <w:t>镇（街道）、</w:t>
      </w:r>
      <w:r>
        <w:rPr>
          <w:rFonts w:hint="eastAsia" w:ascii="仿宋_GB2312" w:hAnsi="仿宋_GB2312" w:cs="仿宋_GB2312"/>
          <w:bCs/>
          <w:szCs w:val="32"/>
          <w:lang w:val="en-US" w:eastAsia="zh-CN"/>
        </w:rPr>
        <w:t>区域服务中心</w:t>
      </w:r>
      <w:r>
        <w:rPr>
          <w:rFonts w:hint="eastAsia" w:ascii="仿宋_GB2312" w:hAnsi="仿宋_GB2312" w:cs="仿宋_GB2312"/>
          <w:bCs/>
          <w:szCs w:val="32"/>
        </w:rPr>
        <w:t>各类突发事件的应对工作。下属各村（居、社区）应明确突发事件应对工作责任人，协助上级及有关部门做好突发事件应对工作。其他基层组织和单位在行业主管部门、</w:t>
      </w:r>
      <w:r>
        <w:rPr>
          <w:rFonts w:hint="eastAsia" w:ascii="仿宋_GB2312" w:hAnsi="仿宋_GB2312" w:cs="仿宋_GB2312"/>
          <w:bCs/>
          <w:szCs w:val="32"/>
          <w:lang w:eastAsia="zh-CN"/>
        </w:rPr>
        <w:t>镇（街道）、</w:t>
      </w:r>
      <w:r>
        <w:rPr>
          <w:rFonts w:hint="eastAsia" w:ascii="仿宋_GB2312" w:hAnsi="仿宋_GB2312" w:cs="仿宋_GB2312"/>
          <w:bCs/>
          <w:szCs w:val="32"/>
          <w:lang w:val="en-US" w:eastAsia="zh-CN"/>
        </w:rPr>
        <w:t>区域服务中心</w:t>
      </w:r>
      <w:r>
        <w:rPr>
          <w:rFonts w:hint="eastAsia" w:ascii="仿宋_GB2312" w:hAnsi="仿宋_GB2312" w:cs="仿宋_GB2312"/>
          <w:bCs/>
          <w:szCs w:val="32"/>
        </w:rPr>
        <w:t>指导下开展应急管理工作，承担相应主体责任。</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lang w:eastAsia="zh-CN"/>
        </w:rPr>
      </w:pPr>
      <w:r>
        <w:rPr>
          <w:rFonts w:hint="eastAsia"/>
        </w:rPr>
        <w:t>各类社会组织，包括公益组织、志愿者组织、民间应急救援队伍等，是区突发事件应急管理的重要组成部分。社会组织纳入应急管理体系，由区应急管理局统筹管理，日常组织开展宣传教育、培训和应急演练工作。在发生突发事件的情况下，接受各专项应急指挥机构的指挥，参与应急救援工作。</w:t>
      </w:r>
    </w:p>
    <w:p>
      <w:pPr>
        <w:pStyle w:val="2"/>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pPr>
      <w:bookmarkStart w:id="38" w:name="_Toc8135"/>
      <w:r>
        <w:rPr>
          <w:rFonts w:hint="eastAsia"/>
        </w:rPr>
        <w:t>3 风险防控、监测与预警预报</w:t>
      </w:r>
      <w:bookmarkEnd w:id="38"/>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39" w:name="_Toc15960"/>
      <w:r>
        <w:rPr>
          <w:rFonts w:hint="eastAsia"/>
        </w:rPr>
        <w:t>3.1 风险防控</w:t>
      </w:r>
      <w:bookmarkEnd w:id="39"/>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3.1.1 风险防控</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（1）新城区各部门、单位应建立常态化值班值守制度，确保通信畅通，及时处理应急事项。</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ascii="仿宋_GB2312" w:hAnsi="仿宋_GB2312" w:eastAsia="仿宋_GB2312" w:cs="仿宋_GB2312"/>
        </w:rPr>
        <w:t>（2）</w:t>
      </w:r>
      <w:r>
        <w:rPr>
          <w:rFonts w:hint="eastAsia" w:ascii="仿宋_GB2312" w:hAnsi="仿宋_GB2312" w:eastAsia="仿宋_GB2312" w:cs="仿宋_GB2312"/>
          <w:lang w:eastAsia="zh-CN"/>
        </w:rPr>
        <w:t>各镇（街道）、区域服务中心</w:t>
      </w:r>
      <w:r>
        <w:rPr>
          <w:rFonts w:hint="eastAsia" w:ascii="仿宋_GB2312" w:hAnsi="仿宋_GB2312" w:eastAsia="仿宋_GB2312" w:cs="仿宋_GB2312"/>
        </w:rPr>
        <w:t>及有关部门要建立</w:t>
      </w:r>
      <w:r>
        <w:rPr>
          <w:rFonts w:hint="eastAsia"/>
        </w:rPr>
        <w:t>健全风险防范化解机制，提升多灾种和灾害链综合监测、风险早期识别能力，依法对各类风险点、危险源、危险区域等进行调查、辨识、评估、分级、登记，建立台账，定期进行检查、监控，责令有关单位采取安全防范措施，积极防范化解风险，建立信息共享机制，并按照有关规定及时向社会公布。有关部门要按照职责分工，对可能发生的突发事件进行综合评估和趋势分析，研究制定风险分级分类标准和管理办法。</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（3）坚持社会共治，统筹建立完善</w:t>
      </w:r>
      <w:r>
        <w:rPr>
          <w:rFonts w:hint="eastAsia" w:ascii="仿宋_GB2312" w:hAnsi="仿宋_GB2312" w:eastAsia="仿宋_GB2312" w:cs="仿宋_GB2312"/>
          <w:lang w:eastAsia="zh-CN"/>
        </w:rPr>
        <w:t>镇（街道）</w:t>
      </w:r>
      <w:r>
        <w:rPr>
          <w:rFonts w:hint="eastAsia" w:ascii="仿宋_GB2312" w:hAnsi="仿宋_GB2312" w:eastAsia="仿宋_GB2312" w:cs="仿宋_GB2312"/>
        </w:rPr>
        <w:t>、</w:t>
      </w:r>
      <w:r>
        <w:rPr>
          <w:rFonts w:hint="eastAsia" w:ascii="仿宋_GB2312" w:hAnsi="仿宋_GB2312" w:eastAsia="仿宋_GB2312" w:cs="仿宋_GB2312"/>
          <w:lang w:val="en-US" w:eastAsia="zh-CN"/>
        </w:rPr>
        <w:t>区域服务中心、</w:t>
      </w:r>
      <w:r>
        <w:rPr>
          <w:rFonts w:hint="eastAsia" w:ascii="仿宋_GB2312" w:hAnsi="仿宋_GB2312" w:eastAsia="仿宋_GB2312" w:cs="仿宋_GB2312"/>
        </w:rPr>
        <w:t>社区、重点企业风险防控体系。有关部门要及时发现和处置各类风险和隐患，落实风险管控措施。对重大风险点和危险源，要制定防控措施、整改方案和应急预案，同时做好监控和应急准备工作。要依照相关规定对各类矛盾纠纷进行调解处理，预防可能引发的社会安全事件，并对一些影响大、群众反映强烈的普遍性和倾向性社会问题研究采取法律、政策等治本措施，力求从根本上解决。</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4）加强安全监督管理。水利工程、铁路客运专线高压输变电工程、重要通信枢纽、支付清算系统、广播电视台和供水、排水、供电等基础设施设计单位要科学选址、优化布局，进行风险评估、可行性论证，增强防灾抗灾和风险管控能力；建设、运营与维护单位要建立完善日常安全和风险管理制度，制定防控和应急处置方案。学校、医院、车站、体育场馆、博物馆、文物古建筑、图书馆、网吧、商场、宾馆、饭店、公园、旅游景区、宗教活动场所等公共场所和人员密集场所，以及长途客运等经营、管理单位，应当在安全出口与疏散路线、通道处，设立显著醒目的警示标志，配备必要的预警和应急救援设备，建立安全巡检制度，保证安全通道、出口畅通。</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5）城乡规划应当充分考虑公共安全风险因素，树牢底线思维，统筹安排应对突发事件所必需的设备和基础设施建设。要加强防灾减灾救灾能力建设，抓好以源头治理为重点的安全生产基础能力建设，完善医疗救治体系和以疾病预防控制为重点的公共卫生保障体系，健全以利益协调机制、诉求表达机制、矛盾调处机制为重点的社会安全基础能力建设。</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（6）各类企业应当加强与行业管理部门的沟通联系和信息共享，共同做好风险防控工作。</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40" w:name="_Toc13687"/>
      <w:r>
        <w:rPr>
          <w:rFonts w:hint="eastAsia"/>
        </w:rPr>
        <w:t>3.2 监测</w:t>
      </w:r>
      <w:bookmarkEnd w:id="40"/>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333333"/>
          <w:kern w:val="0"/>
          <w:sz w:val="32"/>
          <w:szCs w:val="32"/>
          <w:shd w:val="clear" w:color="auto" w:fill="FFFFFF"/>
          <w:lang w:bidi="ar"/>
        </w:rPr>
      </w:pPr>
      <w:r>
        <w:rPr>
          <w:rFonts w:hint="eastAsia" w:ascii="仿宋_GB2312" w:hAnsi="仿宋_GB2312" w:eastAsia="仿宋_GB2312" w:cs="仿宋_GB2312"/>
        </w:rPr>
        <w:t>（1）</w:t>
      </w:r>
      <w:r>
        <w:rPr>
          <w:rFonts w:hint="eastAsia" w:ascii="仿宋_GB2312" w:hAnsi="仿宋_GB2312" w:eastAsia="仿宋_GB2312" w:cs="仿宋_GB2312"/>
          <w:bCs/>
          <w:szCs w:val="32"/>
          <w:lang w:eastAsia="zh-CN"/>
        </w:rPr>
        <w:t>各镇（街道）、区域服务中心</w:t>
      </w:r>
      <w:r>
        <w:rPr>
          <w:rFonts w:hint="eastAsia" w:ascii="仿宋_GB2312" w:hAnsi="仿宋_GB2312" w:eastAsia="仿宋_GB2312" w:cs="仿宋_GB2312"/>
          <w:bCs/>
          <w:szCs w:val="32"/>
        </w:rPr>
        <w:t>及有关部门要建立健全突发事件监测制度，整合监测信息资源，完善信息资源获取和共享机制，牵头部门负责相应突发事件监测信息的集成。要根据突发事件种类和特点，建立健全地震、地质、气象、洪涝、干旱、生物灾害、森林草原火灾、危险化学品生产经营储存运输、城乡火灾、重大关键基础设施、生态环境</w:t>
      </w:r>
      <w:r>
        <w:rPr>
          <w:rFonts w:hint="eastAsia" w:ascii="仿宋_GB2312" w:hAnsi="仿宋_GB2312" w:cs="仿宋_GB2312"/>
          <w:bCs/>
          <w:szCs w:val="32"/>
        </w:rPr>
        <w:t>、传染病疫情、食品药品安全、食用农畜产品质量安全、动物</w:t>
      </w:r>
      <w:r>
        <w:rPr>
          <w:rFonts w:hint="eastAsia" w:ascii="仿宋_GB2312" w:hAnsi="仿宋_GB2312" w:eastAsia="仿宋_GB2312" w:cs="仿宋_GB2312"/>
          <w:bCs/>
          <w:sz w:val="32"/>
          <w:szCs w:val="32"/>
        </w:rPr>
        <w:t>疫情、主要生产生活必需品市场供求、社会治安、金融运行、粮食安全等基础信息数据库，完善监测网络，划分监测区域，确定监测点，明确监测项目，提供必要的设备、设施，配备专职或兼职人员，对可能发生的突发事件进行监测。</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2</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各专项指挥部办公室、相关部门和</w:t>
      </w:r>
      <w:r>
        <w:rPr>
          <w:rFonts w:hint="eastAsia" w:ascii="仿宋_GB2312" w:hAnsi="仿宋_GB2312" w:eastAsia="仿宋_GB2312" w:cs="仿宋_GB2312"/>
          <w:sz w:val="32"/>
          <w:szCs w:val="32"/>
          <w:lang w:eastAsia="zh-CN"/>
        </w:rPr>
        <w:t>镇（街道）、</w:t>
      </w:r>
      <w:r>
        <w:rPr>
          <w:rFonts w:hint="eastAsia" w:ascii="仿宋_GB2312" w:hAnsi="仿宋_GB2312" w:eastAsia="仿宋_GB2312" w:cs="仿宋_GB2312"/>
          <w:sz w:val="32"/>
          <w:szCs w:val="32"/>
          <w:lang w:val="en-US" w:eastAsia="zh-CN"/>
        </w:rPr>
        <w:t>区域服务中心</w:t>
      </w:r>
      <w:r>
        <w:rPr>
          <w:rFonts w:hint="eastAsia" w:ascii="仿宋_GB2312" w:hAnsi="仿宋_GB2312" w:eastAsia="仿宋_GB2312" w:cs="仿宋_GB2312"/>
          <w:bCs/>
          <w:sz w:val="32"/>
          <w:szCs w:val="32"/>
        </w:rPr>
        <w:t>应根据各自职责分工，负责组织各类风险监测信息的汇总、分析、指导、协调、督促各部门单位开展相应工作；负责定期组织召开公共安全形势分析会议，研判突发事件应对的总体形势，提出防范措施建议。</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w:t>
      </w:r>
      <w:r>
        <w:rPr>
          <w:rFonts w:hint="eastAsia" w:ascii="仿宋_GB2312" w:hAnsi="仿宋_GB2312" w:eastAsia="仿宋_GB2312" w:cs="仿宋_GB2312"/>
          <w:sz w:val="32"/>
          <w:szCs w:val="32"/>
        </w:rPr>
        <w:t>各专项指挥部办公室、相关部门</w:t>
      </w:r>
      <w:r>
        <w:rPr>
          <w:rFonts w:hint="eastAsia" w:ascii="仿宋_GB2312" w:hAnsi="仿宋_GB2312" w:eastAsia="仿宋_GB2312" w:cs="仿宋_GB2312"/>
          <w:sz w:val="32"/>
          <w:szCs w:val="32"/>
          <w:lang w:eastAsia="zh-CN"/>
        </w:rPr>
        <w:t>、镇（街道）、</w:t>
      </w:r>
      <w:r>
        <w:rPr>
          <w:rFonts w:hint="eastAsia" w:ascii="仿宋_GB2312" w:hAnsi="仿宋_GB2312" w:eastAsia="仿宋_GB2312" w:cs="仿宋_GB2312"/>
          <w:sz w:val="32"/>
          <w:szCs w:val="32"/>
          <w:lang w:val="en-US" w:eastAsia="zh-CN"/>
        </w:rPr>
        <w:t>区域服务中心</w:t>
      </w:r>
      <w:r>
        <w:rPr>
          <w:rFonts w:hint="eastAsia" w:ascii="仿宋_GB2312" w:hAnsi="仿宋_GB2312" w:eastAsia="仿宋_GB2312" w:cs="仿宋_GB2312"/>
          <w:bCs/>
          <w:sz w:val="32"/>
          <w:szCs w:val="32"/>
        </w:rPr>
        <w:t>和有关单位应根据各自职责分工，及时汇总、分析、指导、协调、督促各部门单位、处理本地区、本部门或本系统风险监测与可能影响公共安全的信息，并负责收集、整理和研究发生在国内外可能对本地区造成重大影响的突发事件信息，预测可能发生的情况，及时报区政府，并通报相关职能部门。</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（4）公安、交通、消防等紧急报警服务系统，以及城市运行保障企业应充分发挥信息收集主渠道作用，第一时间收集和报送城市运行信息，以及涉及安全稳定和其他敏感信息。</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（5）宣传部、公安等部门应建立突发事件舆情快速收集研判机制，及时收集新闻媒体对本区突发事件和有关敏感问题的报道，密切跟踪舆情动态，并向区政府通报。</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（6）对于涉密的重要信息，负责收集数据的部门应遵守相关的管理规定，做好信息的保密工作。</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41" w:name="_Toc6099"/>
      <w:r>
        <w:rPr>
          <w:rFonts w:hint="eastAsia"/>
        </w:rPr>
        <w:t>3.3 预警</w:t>
      </w:r>
      <w:bookmarkEnd w:id="41"/>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（1）确定预警级别。对可以预警的自然灾害、事故灾难或者公共卫生、社会安全事件，</w:t>
      </w:r>
      <w:r>
        <w:rPr>
          <w:rFonts w:hint="eastAsia" w:ascii="仿宋_GB2312" w:hAnsi="仿宋_GB2312" w:cs="仿宋_GB2312"/>
          <w:bCs/>
          <w:szCs w:val="32"/>
          <w:lang w:val="en-US" w:eastAsia="zh-CN"/>
        </w:rPr>
        <w:t>各专项指挥部和</w:t>
      </w:r>
      <w:r>
        <w:rPr>
          <w:rFonts w:hint="eastAsia" w:ascii="仿宋_GB2312" w:hAnsi="仿宋_GB2312" w:cs="仿宋_GB2312"/>
          <w:bCs/>
          <w:szCs w:val="32"/>
        </w:rPr>
        <w:t>有关部门接到相关征兆信息后，及时组织分析评估，研判发生的可能性、</w:t>
      </w:r>
      <w:r>
        <w:rPr>
          <w:rFonts w:hint="eastAsia" w:ascii="仿宋_GB2312" w:hAnsi="仿宋_GB2312" w:cs="仿宋_GB2312"/>
          <w:bCs/>
          <w:szCs w:val="32"/>
          <w:lang w:val="en-US" w:eastAsia="zh-CN"/>
        </w:rPr>
        <w:t>严重程度</w:t>
      </w:r>
      <w:r>
        <w:rPr>
          <w:rFonts w:hint="eastAsia" w:ascii="仿宋_GB2312" w:hAnsi="仿宋_GB2312" w:cs="仿宋_GB2312"/>
          <w:bCs/>
          <w:szCs w:val="32"/>
        </w:rPr>
        <w:t>和影响范围以及可能发生的次生衍生突发事件类别，确定预警级别。按照紧急程度、发展势态和可能造成的危害程度，预警级别分为一级、二级、三级、四级，分别用红色、橙色、黄色、蓝色标示，一级为最高级别。对其他突发事件，要根据情况及时向有关方面通报提醒，必要时向社会公众发布安全警示。</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（2）发布预警信息。分析评估结果确认突发事件即将发生或者发生的可能性增大时，</w:t>
      </w:r>
      <w:r>
        <w:rPr>
          <w:rFonts w:hint="eastAsia" w:ascii="仿宋_GB2312" w:hAnsi="仿宋_GB2312" w:cs="仿宋_GB2312"/>
          <w:bCs/>
          <w:szCs w:val="32"/>
          <w:lang w:val="en-US" w:eastAsia="zh-CN"/>
        </w:rPr>
        <w:t>各专项指挥部和</w:t>
      </w:r>
      <w:r>
        <w:rPr>
          <w:rFonts w:hint="eastAsia" w:ascii="仿宋_GB2312" w:hAnsi="仿宋_GB2312" w:cs="仿宋_GB2312"/>
          <w:bCs/>
          <w:szCs w:val="32"/>
        </w:rPr>
        <w:t>有关部门按相关规定立即发布预警信息，及时向上一级报告；必要时可以越级上报，并向当地驻军和可能受到危害的毗邻或相关地区通报。根据事态发展，适时调整预警级别并重新报告、通报和发布有关突发事件预测信息和分析评估结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预警信息的发布和调整要充分发挥突发事件预警信息发布系统作用，通过广播、电视、手机、通信与信息网络、警报器、宣传车、大喇叭或者组织人员逐户通知等方式进行，对老、幼、病、残、孕等特殊人群和学校等特殊场所以及警报盲区应当采取有针对性的通知方式。媒体单位应当优先做好预警信息传播和应急宣传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 xml:space="preserve">（3）采取预警措施 </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cs="仿宋_GB2312"/>
          <w:bCs/>
          <w:szCs w:val="32"/>
        </w:rPr>
      </w:pPr>
      <w:r>
        <w:rPr>
          <w:rFonts w:hint="eastAsia" w:ascii="仿宋_GB2312" w:hAnsi="仿宋_GB2312" w:cs="仿宋_GB2312"/>
          <w:bCs/>
          <w:szCs w:val="32"/>
        </w:rPr>
        <w:t>预警信息发布后，有关方面要根据预警级别和实际情况以及分级负责的原则，采取下列一项或多项措施</w:t>
      </w:r>
      <w:r>
        <w:rPr>
          <w:rFonts w:hint="eastAsia" w:ascii="仿宋_GB2312" w:hAnsi="仿宋_GB2312" w:eastAsia="仿宋_GB2312" w:cs="仿宋_GB2312"/>
          <w:bCs/>
          <w:color w:val="auto"/>
          <w:kern w:val="2"/>
          <w:sz w:val="32"/>
          <w:szCs w:val="32"/>
          <w:lang w:bidi="ar"/>
        </w:rPr>
        <w:t>：</w:t>
      </w:r>
    </w:p>
    <w:p>
      <w:pPr>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cs="仿宋_GB2312"/>
          <w:bCs/>
          <w:szCs w:val="32"/>
        </w:rPr>
      </w:pPr>
      <w:r>
        <w:rPr>
          <w:rFonts w:hint="eastAsia" w:ascii="仿宋_GB2312" w:hAnsi="仿宋_GB2312" w:eastAsia="仿宋_GB2312" w:cs="仿宋_GB2312"/>
          <w:bCs/>
          <w:color w:val="auto"/>
          <w:kern w:val="2"/>
          <w:szCs w:val="32"/>
          <w:lang w:bidi="ar"/>
        </w:rPr>
        <w:t>①</w:t>
      </w:r>
      <w:r>
        <w:rPr>
          <w:rFonts w:hint="eastAsia" w:ascii="仿宋_GB2312" w:hAnsi="仿宋_GB2312" w:cs="仿宋_GB2312"/>
          <w:bCs/>
          <w:szCs w:val="32"/>
        </w:rPr>
        <w:t>增加监测频次，及时收集、报告有关信息</w:t>
      </w:r>
      <w:r>
        <w:rPr>
          <w:rFonts w:hint="eastAsia" w:ascii="仿宋_GB2312" w:hAnsi="仿宋_GB2312" w:eastAsia="仿宋_GB2312" w:cs="仿宋_GB2312"/>
          <w:bCs/>
          <w:color w:val="auto"/>
          <w:kern w:val="2"/>
          <w:sz w:val="32"/>
          <w:szCs w:val="32"/>
          <w:lang w:bidi="ar"/>
        </w:rPr>
        <w:t>；</w:t>
      </w:r>
    </w:p>
    <w:p>
      <w:pPr>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cs="仿宋_GB2312"/>
          <w:bCs/>
          <w:szCs w:val="32"/>
        </w:rPr>
      </w:pPr>
      <w:r>
        <w:rPr>
          <w:rFonts w:hint="eastAsia" w:ascii="仿宋_GB2312" w:hAnsi="仿宋_GB2312" w:eastAsia="仿宋_GB2312" w:cs="仿宋_GB2312"/>
          <w:bCs/>
          <w:color w:val="auto"/>
          <w:kern w:val="2"/>
          <w:szCs w:val="32"/>
          <w:lang w:bidi="ar"/>
        </w:rPr>
        <w:t>②</w:t>
      </w:r>
      <w:r>
        <w:rPr>
          <w:rFonts w:hint="eastAsia" w:ascii="仿宋_GB2312" w:hAnsi="仿宋_GB2312" w:cs="仿宋_GB2312"/>
          <w:bCs/>
          <w:szCs w:val="32"/>
        </w:rPr>
        <w:t>加强公众沟通，公布信息接收和咨询电话，向社会公告采取的有关特定措施、避免或者减轻危害的建议和劝告等</w:t>
      </w:r>
      <w:r>
        <w:rPr>
          <w:rFonts w:hint="eastAsia" w:ascii="仿宋_GB2312" w:hAnsi="仿宋_GB2312" w:eastAsia="仿宋_GB2312" w:cs="仿宋_GB2312"/>
          <w:bCs/>
          <w:color w:val="auto"/>
          <w:kern w:val="2"/>
          <w:sz w:val="32"/>
          <w:szCs w:val="32"/>
          <w:lang w:bidi="ar"/>
        </w:rPr>
        <w:t>；</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cs="仿宋_GB2312"/>
          <w:bCs/>
          <w:szCs w:val="32"/>
        </w:rPr>
      </w:pPr>
      <w:r>
        <w:rPr>
          <w:rFonts w:hint="eastAsia" w:ascii="仿宋_GB2312" w:hAnsi="仿宋_GB2312" w:eastAsia="仿宋_GB2312" w:cs="仿宋_GB2312"/>
          <w:bCs/>
          <w:color w:val="auto"/>
          <w:kern w:val="2"/>
          <w:szCs w:val="32"/>
          <w:lang w:bidi="ar"/>
        </w:rPr>
        <w:t>③</w:t>
      </w:r>
      <w:r>
        <w:rPr>
          <w:rFonts w:hint="eastAsia" w:ascii="仿宋_GB2312" w:hAnsi="仿宋_GB2312" w:cs="仿宋_GB2312"/>
          <w:bCs/>
          <w:szCs w:val="32"/>
        </w:rPr>
        <w:t xml:space="preserve">组织应急队伍和负有特定职责的人员进入待命状态，动员后备人员做好参加应急处置和救援工作的准备，视情预置有关队伍、装备、物资等应急资源； </w:t>
      </w:r>
    </w:p>
    <w:p>
      <w:pPr>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ascii="仿宋_GB2312" w:hAnsi="仿宋_GB2312" w:cs="仿宋_GB2312"/>
          <w:bCs/>
          <w:szCs w:val="32"/>
        </w:rPr>
      </w:pPr>
      <w:r>
        <w:rPr>
          <w:rFonts w:hint="eastAsia" w:ascii="仿宋_GB2312" w:hAnsi="仿宋_GB2312" w:eastAsia="仿宋_GB2312" w:cs="仿宋_GB2312"/>
          <w:bCs/>
          <w:color w:val="auto"/>
          <w:kern w:val="2"/>
          <w:szCs w:val="32"/>
          <w:lang w:bidi="ar"/>
        </w:rPr>
        <w:t>④</w:t>
      </w:r>
      <w:r>
        <w:rPr>
          <w:rFonts w:hint="eastAsia" w:ascii="仿宋_GB2312" w:hAnsi="仿宋_GB2312" w:cs="仿宋_GB2312"/>
          <w:bCs/>
          <w:szCs w:val="32"/>
        </w:rPr>
        <w:t>调集应急处置和救援所需物资、设备、工具，准备应急设施和避难场所，并确保其处于良好状态、随时可以投入正常使用；</w:t>
      </w:r>
    </w:p>
    <w:p>
      <w:pPr>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cs="仿宋_GB2312"/>
          <w:bCs/>
          <w:szCs w:val="32"/>
        </w:rPr>
      </w:pPr>
      <w:r>
        <w:rPr>
          <w:rFonts w:hint="eastAsia" w:ascii="仿宋_GB2312" w:hAnsi="仿宋_GB2312" w:eastAsia="仿宋_GB2312" w:cs="仿宋_GB2312"/>
          <w:bCs/>
          <w:color w:val="auto"/>
          <w:kern w:val="2"/>
          <w:szCs w:val="32"/>
          <w:lang w:bidi="ar"/>
        </w:rPr>
        <w:t>⑤</w:t>
      </w:r>
      <w:r>
        <w:rPr>
          <w:rFonts w:hint="eastAsia" w:ascii="仿宋_GB2312" w:hAnsi="仿宋_GB2312" w:cs="仿宋_GB2312"/>
          <w:bCs/>
          <w:szCs w:val="32"/>
        </w:rPr>
        <w:t>加强对重点单位、重要部位和重要基础设施的安全保卫，维护社会治安秩序；</w:t>
      </w:r>
    </w:p>
    <w:p>
      <w:pPr>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cs="仿宋_GB2312"/>
          <w:bCs/>
          <w:szCs w:val="32"/>
        </w:rPr>
      </w:pPr>
      <w:r>
        <w:rPr>
          <w:rFonts w:hint="eastAsia" w:ascii="仿宋_GB2312" w:hAnsi="仿宋_GB2312" w:eastAsia="仿宋_GB2312" w:cs="仿宋_GB2312"/>
          <w:bCs/>
          <w:color w:val="auto"/>
          <w:kern w:val="2"/>
          <w:szCs w:val="32"/>
          <w:lang w:bidi="ar"/>
        </w:rPr>
        <w:t>⑥</w:t>
      </w:r>
      <w:r>
        <w:rPr>
          <w:rFonts w:hint="eastAsia" w:ascii="仿宋_GB2312" w:hAnsi="仿宋_GB2312" w:cs="仿宋_GB2312"/>
          <w:bCs/>
          <w:szCs w:val="32"/>
        </w:rPr>
        <w:t>采取必要措施，确保交通、通信、供水、排水、供电、供气、供热等公共设施的安全和正常运行；</w:t>
      </w:r>
    </w:p>
    <w:p>
      <w:pPr>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cs="仿宋_GB2312"/>
          <w:bCs/>
          <w:szCs w:val="32"/>
        </w:rPr>
      </w:pPr>
      <w:r>
        <w:rPr>
          <w:rFonts w:hint="eastAsia" w:ascii="仿宋_GB2312" w:hAnsi="仿宋_GB2312" w:eastAsia="仿宋_GB2312" w:cs="仿宋_GB2312"/>
          <w:bCs/>
          <w:color w:val="auto"/>
          <w:kern w:val="2"/>
          <w:szCs w:val="32"/>
          <w:lang w:bidi="ar"/>
        </w:rPr>
        <w:t>⑦</w:t>
      </w:r>
      <w:r>
        <w:rPr>
          <w:rFonts w:hint="eastAsia" w:ascii="仿宋_GB2312" w:hAnsi="仿宋_GB2312" w:cs="仿宋_GB2312"/>
          <w:bCs/>
          <w:szCs w:val="32"/>
        </w:rPr>
        <w:t>转移、疏散或者撤离易受突发事件危害的人员并予以妥善安置，转移重要财产，对老、幼、病、残、孕等特殊人群以及学生要采取优先或者针对性的措施；</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bCs/>
          <w:szCs w:val="32"/>
        </w:rPr>
      </w:pPr>
      <w:r>
        <w:rPr>
          <w:rFonts w:hint="eastAsia" w:ascii="仿宋_GB2312" w:hAnsi="仿宋_GB2312" w:eastAsia="仿宋_GB2312" w:cs="仿宋_GB2312"/>
          <w:bCs/>
          <w:color w:val="auto"/>
          <w:kern w:val="2"/>
          <w:szCs w:val="32"/>
          <w:lang w:bidi="ar"/>
        </w:rPr>
        <w:t>⑧</w:t>
      </w:r>
      <w:r>
        <w:rPr>
          <w:rFonts w:hint="eastAsia" w:ascii="仿宋_GB2312" w:hAnsi="仿宋_GB2312" w:eastAsia="仿宋_GB2312" w:cs="仿宋_GB2312"/>
          <w:bCs/>
          <w:szCs w:val="32"/>
        </w:rPr>
        <w:t>关闭或者限制使用易受突发事件危害的场所，控制或者限制容易导致危害扩大的公共场所的活动；</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bCs/>
          <w:szCs w:val="32"/>
        </w:rPr>
      </w:pPr>
      <w:r>
        <w:rPr>
          <w:rFonts w:hint="eastAsia" w:ascii="仿宋_GB2312" w:hAnsi="仿宋_GB2312" w:eastAsia="仿宋_GB2312" w:cs="仿宋_GB2312"/>
          <w:bCs/>
          <w:color w:val="auto"/>
          <w:kern w:val="2"/>
          <w:szCs w:val="32"/>
          <w:lang w:bidi="ar"/>
        </w:rPr>
        <w:t>⑨</w:t>
      </w:r>
      <w:r>
        <w:rPr>
          <w:rFonts w:hint="eastAsia" w:ascii="仿宋_GB2312" w:hAnsi="仿宋_GB2312" w:eastAsia="仿宋_GB2312" w:cs="仿宋_GB2312"/>
          <w:bCs/>
          <w:szCs w:val="32"/>
        </w:rPr>
        <w:t>有关地区和部门发布预警后，其他相关地区和部门及时组织分析本地区、本行业可能受到影响的范围、程度等，安排部署有关防范性措施；</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bCs/>
          <w:szCs w:val="32"/>
        </w:rPr>
      </w:pPr>
      <w:r>
        <w:rPr>
          <w:rFonts w:hint="eastAsia" w:ascii="仿宋_GB2312" w:hAnsi="仿宋_GB2312" w:eastAsia="仿宋_GB2312" w:cs="仿宋_GB2312"/>
          <w:bCs/>
          <w:color w:val="auto"/>
          <w:kern w:val="2"/>
          <w:szCs w:val="32"/>
          <w:lang w:bidi="ar"/>
        </w:rPr>
        <w:t>⑩</w:t>
      </w:r>
      <w:r>
        <w:rPr>
          <w:rFonts w:hint="eastAsia" w:ascii="仿宋_GB2312" w:hAnsi="仿宋_GB2312" w:eastAsia="仿宋_GB2312" w:cs="仿宋_GB2312"/>
          <w:bCs/>
          <w:szCs w:val="32"/>
        </w:rPr>
        <w:t>法律、法规、规章规定的其他必要的防范性、保护性措施。</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color w:val="000000"/>
          <w:kern w:val="0"/>
          <w:szCs w:val="32"/>
          <w:lang w:bidi="ar"/>
        </w:rPr>
      </w:pPr>
      <w:r>
        <w:rPr>
          <w:rFonts w:hint="eastAsia" w:ascii="仿宋_GB2312" w:hAnsi="仿宋_GB2312" w:eastAsia="仿宋_GB2312" w:cs="仿宋_GB2312"/>
          <w:color w:val="000000"/>
          <w:kern w:val="0"/>
          <w:szCs w:val="32"/>
          <w:lang w:bidi="ar"/>
        </w:rPr>
        <w:t>（4）解除预警措施</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color w:val="000000"/>
          <w:kern w:val="0"/>
          <w:szCs w:val="32"/>
          <w:lang w:bidi="ar"/>
        </w:rPr>
        <w:t>当突发事件风险已经解除，区政府及其有关部门要立即宣布解除警报，终止预警期，解除已经采取的有关措施</w:t>
      </w:r>
      <w:r>
        <w:rPr>
          <w:rFonts w:hint="eastAsia" w:ascii="仿宋_GB2312" w:hAnsi="仿宋_GB2312" w:eastAsia="仿宋_GB2312" w:cs="仿宋_GB2312"/>
          <w:bCs/>
          <w:szCs w:val="32"/>
        </w:rPr>
        <w:t>。</w:t>
      </w:r>
    </w:p>
    <w:p>
      <w:pPr>
        <w:pStyle w:val="2"/>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42" w:name="_Toc6404"/>
      <w:r>
        <w:rPr>
          <w:rFonts w:hint="eastAsia"/>
        </w:rPr>
        <w:t>4 应急处置与救援</w:t>
      </w:r>
      <w:bookmarkEnd w:id="42"/>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43" w:name="_Toc24148"/>
      <w:r>
        <w:rPr>
          <w:rFonts w:hint="eastAsia"/>
        </w:rPr>
        <w:t>4.1 信息报告</w:t>
      </w:r>
      <w:bookmarkEnd w:id="43"/>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各专项指挥部办公室、相关部门、</w:t>
      </w:r>
      <w:r>
        <w:rPr>
          <w:rFonts w:hint="eastAsia" w:ascii="仿宋_GB2312" w:hAnsi="仿宋_GB2312" w:eastAsia="仿宋_GB2312" w:cs="仿宋_GB2312"/>
          <w:lang w:eastAsia="zh-CN"/>
        </w:rPr>
        <w:t>各镇（街道）、区域服务中心</w:t>
      </w:r>
      <w:r>
        <w:rPr>
          <w:rFonts w:hint="eastAsia" w:ascii="仿宋_GB2312" w:hAnsi="仿宋_GB2312" w:eastAsia="仿宋_GB2312" w:cs="仿宋_GB2312"/>
        </w:rPr>
        <w:t>和有关单位，应按照国家、自治区、市有关规定及时上报各类突发事件信息和其他相关信息。信息报送应贯穿于突发事件的预防与应急准备、监测与预警、应急处置与救援、事后恢复与重建在内的应急管理全过程。</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bCs/>
          <w:szCs w:val="32"/>
        </w:rPr>
      </w:pPr>
      <w:r>
        <w:rPr>
          <w:rFonts w:hint="eastAsia" w:ascii="仿宋_GB2312" w:hAnsi="仿宋_GB2312" w:eastAsia="仿宋_GB2312" w:cs="仿宋_GB2312"/>
        </w:rPr>
        <w:t>（1）新城区要积极推进安全风险网格化管理，创新基层网格员管理体制机制，建立统一规范的基层网</w:t>
      </w:r>
      <w:r>
        <w:rPr>
          <w:rFonts w:hint="eastAsia"/>
        </w:rPr>
        <w:t>格员管理和</w:t>
      </w:r>
      <w:r>
        <w:rPr>
          <w:rFonts w:hint="eastAsia" w:ascii="仿宋_GB2312" w:hAnsi="仿宋_GB2312" w:eastAsia="仿宋_GB2312" w:cs="仿宋_GB2312"/>
        </w:rPr>
        <w:t>激励制度，区有关专业机构、监测网点和灾害信息员、专职安全员等基层网格员要结合工作职责及时向相关主管部门报告突发事件信息，并参与先期</w:t>
      </w:r>
      <w:r>
        <w:rPr>
          <w:rFonts w:hint="eastAsia" w:ascii="仿宋_GB2312" w:hAnsi="仿宋_GB2312" w:eastAsia="仿宋_GB2312" w:cs="仿宋_GB2312"/>
          <w:bCs/>
          <w:szCs w:val="32"/>
        </w:rPr>
        <w:t>处置。</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2）应急指挥平台应当充分与外部系统对接，以便将信息报送范围扩展到应急处置与救援相关的单位和人员。包括：与110报警服务台、12345热线对接，获取源头公众报送的信息；与应急联动机构对接，实现共享情报与指挥；与市、自治区上级应急指挥机构的应急指挥平台对接，实现信息报送的上下级贯通。</w:t>
      </w:r>
    </w:p>
    <w:p>
      <w:pPr>
        <w:pageBreakBefore w:val="0"/>
        <w:widowControl w:val="0"/>
        <w:kinsoku/>
        <w:wordWrap/>
        <w:overflowPunct/>
        <w:topLinePunct w:val="0"/>
        <w:autoSpaceDE/>
        <w:autoSpaceDN/>
        <w:bidi w:val="0"/>
        <w:snapToGrid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（3）</w:t>
      </w:r>
      <w:r>
        <w:rPr>
          <w:rFonts w:hint="eastAsia" w:ascii="仿宋_GB2312" w:hAnsi="仿宋_GB2312" w:eastAsia="仿宋_GB2312" w:cs="仿宋_GB2312"/>
          <w:sz w:val="32"/>
          <w:szCs w:val="32"/>
        </w:rPr>
        <w:t>突发事件发生或者发现重大风险隐患后，基层网格员和有关学校、医院、企业、</w:t>
      </w:r>
      <w:r>
        <w:rPr>
          <w:rFonts w:hint="eastAsia" w:ascii="仿宋_GB2312" w:hAnsi="仿宋_GB2312" w:eastAsia="仿宋_GB2312" w:cs="仿宋_GB2312"/>
          <w:sz w:val="32"/>
          <w:szCs w:val="32"/>
          <w:lang w:eastAsia="zh-CN"/>
        </w:rPr>
        <w:t>镇（街道）</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区域服务中心、</w:t>
      </w:r>
      <w:r>
        <w:rPr>
          <w:rFonts w:hint="eastAsia" w:ascii="仿宋_GB2312" w:hAnsi="仿宋_GB2312" w:eastAsia="仿宋_GB2312" w:cs="仿宋_GB2312"/>
          <w:sz w:val="32"/>
          <w:szCs w:val="32"/>
        </w:rPr>
        <w:t>社区、社会组织及相关专业机构、监测网点等要及时向区政府及其主管部门报告突发事件信息，主管部门要向区政府相关部门通报突发事件信息。区政府及其有关部门要按照有关规定向市政府及其有关部门报送突发事件信息，并根据事态进展，及时续报突发事件处置等有关情况，确保突发事件信息报送的时效性和规范性。</w:t>
      </w:r>
    </w:p>
    <w:p>
      <w:pPr>
        <w:pStyle w:val="8"/>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上报突发事件信息的内容应包括：发生的时间、地点、性质、简要经过、影响范围（含环境影响）、人员伤（病）亡失联及家属安抚、房屋倒塌损坏、交通、通讯、电力等基础设施损毁、网上舆情、社会面治安稳定、现场救援等情况和已经采取的其他措施。极端情况下，确实无法及时获得完整信息时，可调整报告内容，并跟踪报告。</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（5）</w:t>
      </w:r>
      <w:r>
        <w:rPr>
          <w:rFonts w:hint="eastAsia" w:ascii="仿宋_GB2312" w:hAnsi="仿宋_GB2312" w:eastAsia="仿宋_GB2312" w:cs="仿宋_GB2312"/>
          <w:sz w:val="32"/>
          <w:szCs w:val="32"/>
        </w:rPr>
        <w:t>区政府及其有关部门要全面掌握本行政区域各类突发事件信息，并及时报送市政府及其有关部门。</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事件本身比较敏感，或者发生在重点地区、重要时期，或者可能演化为特别重大、重大突发事件的，不受突发事件分级标准限制。</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（6）</w:t>
      </w:r>
      <w:r>
        <w:rPr>
          <w:rFonts w:hint="eastAsia" w:ascii="仿宋_GB2312" w:hAnsi="仿宋_GB2312" w:eastAsia="仿宋_GB2312" w:cs="仿宋_GB2312"/>
          <w:sz w:val="32"/>
          <w:szCs w:val="32"/>
        </w:rPr>
        <w:t>接到突发事件信息后，区政府及其有关部门要立即如实向市政府及其有关部门报告，最迟不得超过1小时，不得迟报、谎报、瞒报和漏报，同时通报可能受影响的地区、部门、单位和企业等。特别重大、重大突发事件发生后，区政府及其有关</w:t>
      </w:r>
      <w:r>
        <w:rPr>
          <w:rFonts w:hint="eastAsia" w:ascii="仿宋_GB2312" w:hAnsi="仿宋_GB2312" w:eastAsia="仿宋_GB2312" w:cs="仿宋_GB2312"/>
          <w:sz w:val="32"/>
          <w:szCs w:val="32"/>
          <w:lang w:eastAsia="zh-CN"/>
        </w:rPr>
        <w:t>部</w:t>
      </w:r>
      <w:r>
        <w:rPr>
          <w:rFonts w:hint="eastAsia" w:ascii="仿宋_GB2312" w:hAnsi="仿宋_GB2312" w:eastAsia="仿宋_GB2312" w:cs="仿宋_GB2312"/>
          <w:sz w:val="32"/>
          <w:szCs w:val="32"/>
        </w:rPr>
        <w:t>门在报告市政府及其有关部门的同时，应直接向自治区人民政府及其有关部门报告。</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（7）</w:t>
      </w:r>
      <w:r>
        <w:rPr>
          <w:rFonts w:hint="eastAsia" w:ascii="仿宋_GB2312" w:hAnsi="仿宋_GB2312" w:eastAsia="仿宋_GB2312" w:cs="仿宋_GB2312"/>
          <w:sz w:val="32"/>
          <w:szCs w:val="32"/>
        </w:rPr>
        <w:t>涉及港澳台侨、外籍人员，或者影响到境外的突发事件，需要向香港特别行政区政府、澳门特别行政区政府、台湾当局以及有关国家、地区、国际机构通报的，按照相关规定办理。</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rPr>
      </w:pPr>
      <w:r>
        <w:rPr>
          <w:rFonts w:hint="eastAsia" w:ascii="仿宋_GB2312" w:hAnsi="仿宋_GB2312" w:eastAsia="仿宋_GB2312" w:cs="仿宋_GB2312"/>
          <w:color w:val="000000"/>
          <w:kern w:val="0"/>
          <w:sz w:val="32"/>
          <w:szCs w:val="32"/>
          <w:lang w:bidi="ar"/>
        </w:rPr>
        <w:t>（8）</w:t>
      </w:r>
      <w:r>
        <w:rPr>
          <w:rFonts w:hint="eastAsia" w:ascii="仿宋_GB2312" w:hAnsi="仿宋_GB2312" w:eastAsia="仿宋_GB2312" w:cs="仿宋_GB2312"/>
          <w:sz w:val="32"/>
          <w:szCs w:val="32"/>
        </w:rPr>
        <w:t>各类突发事件应急处置牵头部门要建立健全信息快速获取机制，完善突发事件信息报送和信息共享系统，融合相关部门、新城区的应急基础信息、地理信息、应急资源信息、预案和案例信息、事件动态信息等，为突发事件应对提供信息保障。鼓励公民主动向区政府及其有关主管部门报告获悉的突发事件信息。</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44" w:name="_Toc11949"/>
      <w:r>
        <w:rPr>
          <w:rFonts w:hint="eastAsia"/>
        </w:rPr>
        <w:t>4.2 先期处置</w:t>
      </w:r>
      <w:bookmarkEnd w:id="4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sz w:val="32"/>
          <w:szCs w:val="32"/>
        </w:rPr>
        <w:t>（1）事发单位或者受影响单位</w:t>
      </w:r>
      <w:r>
        <w:rPr>
          <w:rFonts w:hint="eastAsia" w:ascii="仿宋_GB2312" w:hAnsi="仿宋_GB2312" w:eastAsia="仿宋_GB2312" w:cs="仿宋_GB2312"/>
          <w:color w:val="000000"/>
          <w:kern w:val="0"/>
          <w:sz w:val="32"/>
          <w:szCs w:val="32"/>
          <w:lang w:bidi="ar"/>
        </w:rPr>
        <w:t>要立即开展先期处置，并向区政府及其有关部门报告</w:t>
      </w:r>
      <w:r>
        <w:rPr>
          <w:rFonts w:hint="eastAsia" w:ascii="仿宋_GB2312" w:hAnsi="仿宋_GB2312" w:eastAsia="仿宋_GB2312" w:cs="仿宋_GB2312"/>
          <w:sz w:val="32"/>
          <w:szCs w:val="32"/>
        </w:rPr>
        <w:t>；立即组织本单位应急队伍和工作人员营救受害人员，疏散、撤离、安置受威胁人员；控制危险源，标明危险区域，封锁危险场所，并采取其他防止危害扩大的必要措施；迅速控制可疑传染源，积极救治病人，组织医疗卫生人员加强个人防护。对因本单位问题引发的或者主体是本单位人员的社会安全事件，有关单位要迅速派出负责人赶赴现场开展劝解、疏导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bidi="ar"/>
        </w:rPr>
        <w:t>2</w:t>
      </w:r>
      <w:r>
        <w:rPr>
          <w:rFonts w:hint="eastAsia" w:ascii="仿宋_GB2312" w:hAnsi="仿宋_GB2312" w:eastAsia="仿宋_GB2312" w:cs="仿宋_GB2312"/>
          <w:sz w:val="32"/>
          <w:szCs w:val="32"/>
        </w:rPr>
        <w:t>）事发地基层党组织、居民委员会及其他组织要立即进行宣传动员，组织群众开展自救互救，协助维护社会秩序，或者按照区政府的决定、命令组织开展突发事件应对工作。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（3）事发地</w:t>
      </w:r>
      <w:r>
        <w:rPr>
          <w:rFonts w:hint="eastAsia" w:ascii="仿宋_GB2312" w:hAnsi="仿宋_GB2312" w:eastAsia="仿宋_GB2312" w:cs="仿宋_GB2312"/>
          <w:color w:val="auto"/>
          <w:sz w:val="32"/>
          <w:szCs w:val="32"/>
          <w:lang w:eastAsia="zh-CN"/>
        </w:rPr>
        <w:t>镇（街道）、</w:t>
      </w:r>
      <w:r>
        <w:rPr>
          <w:rFonts w:hint="eastAsia" w:ascii="仿宋_GB2312" w:hAnsi="仿宋_GB2312" w:eastAsia="仿宋_GB2312" w:cs="仿宋_GB2312"/>
          <w:color w:val="auto"/>
          <w:sz w:val="32"/>
          <w:szCs w:val="32"/>
          <w:lang w:val="en-US" w:eastAsia="zh-CN"/>
        </w:rPr>
        <w:t>区域服务中心</w:t>
      </w:r>
      <w:r>
        <w:rPr>
          <w:rFonts w:hint="eastAsia" w:ascii="仿宋_GB2312" w:hAnsi="仿宋_GB2312" w:eastAsia="仿宋_GB2312" w:cs="仿宋_GB2312"/>
          <w:color w:val="auto"/>
          <w:sz w:val="32"/>
          <w:szCs w:val="32"/>
        </w:rPr>
        <w:t>就近组织应急力量，采取措施控制事态发展，</w:t>
      </w:r>
      <w:r>
        <w:rPr>
          <w:rFonts w:hint="eastAsia" w:ascii="仿宋_GB2312" w:hAnsi="仿宋_GB2312" w:eastAsia="仿宋_GB2312" w:cs="仿宋_GB2312"/>
          <w:color w:val="auto"/>
          <w:sz w:val="32"/>
          <w:szCs w:val="32"/>
          <w:lang w:val="en-US" w:eastAsia="zh-CN"/>
        </w:rPr>
        <w:t>具体负责实施本区域内的人员转移工作，对</w:t>
      </w:r>
      <w:r>
        <w:rPr>
          <w:rFonts w:hint="eastAsia" w:ascii="仿宋_GB2312" w:hAnsi="仿宋_GB2312" w:eastAsia="仿宋_GB2312" w:cs="仿宋_GB2312"/>
          <w:bCs/>
          <w:color w:val="auto"/>
          <w:sz w:val="32"/>
          <w:szCs w:val="32"/>
        </w:rPr>
        <w:t>老、幼、病、残、孕等特殊</w:t>
      </w:r>
      <w:r>
        <w:rPr>
          <w:rFonts w:hint="eastAsia" w:ascii="仿宋_GB2312" w:hAnsi="仿宋_GB2312" w:eastAsia="仿宋_GB2312" w:cs="仿宋_GB2312"/>
          <w:color w:val="auto"/>
          <w:sz w:val="32"/>
          <w:szCs w:val="32"/>
          <w:lang w:val="en-US" w:eastAsia="zh-CN"/>
        </w:rPr>
        <w:t>群体要明确责任人</w:t>
      </w:r>
      <w:r>
        <w:rPr>
          <w:rFonts w:hint="eastAsia" w:ascii="仿宋_GB2312" w:hAnsi="仿宋_GB2312" w:eastAsia="仿宋_GB2312" w:cs="仿宋_GB2312"/>
          <w:color w:val="auto"/>
          <w:sz w:val="32"/>
          <w:szCs w:val="32"/>
        </w:rPr>
        <w:t>，并及时向区政府报告</w:t>
      </w:r>
      <w:r>
        <w:rPr>
          <w:rFonts w:hint="eastAsia" w:ascii="仿宋_GB2312" w:hAnsi="仿宋_GB2312" w:eastAsia="仿宋_GB2312" w:cs="仿宋_GB2312"/>
          <w:color w:val="auto"/>
          <w:sz w:val="32"/>
          <w:szCs w:val="32"/>
          <w:lang w:val="en-US" w:eastAsia="zh-CN"/>
        </w:rPr>
        <w:t>应急处置与救援工作</w:t>
      </w:r>
      <w:r>
        <w:rPr>
          <w:rFonts w:hint="eastAsia" w:ascii="仿宋_GB2312" w:hAnsi="仿宋_GB2312" w:eastAsia="仿宋_GB2312" w:cs="仿宋_GB2312"/>
          <w:color w:val="auto"/>
          <w:sz w:val="32"/>
          <w:szCs w:val="32"/>
        </w:rPr>
        <w:t>。</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（4）各专项指挥部调动应急救援力量，采取措施控制事态发展，组织开展应急救援和处置工作</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并向区政府及其有关部门报告。</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val="0"/>
          <w:color w:val="000000"/>
          <w:kern w:val="0"/>
          <w:sz w:val="32"/>
          <w:szCs w:val="32"/>
          <w:lang w:bidi="ar"/>
        </w:rPr>
      </w:pPr>
      <w:r>
        <w:rPr>
          <w:rFonts w:hint="eastAsia" w:ascii="仿宋_GB2312" w:hAnsi="仿宋_GB2312" w:eastAsia="仿宋_GB2312" w:cs="仿宋_GB2312"/>
          <w:bCs w:val="0"/>
          <w:color w:val="000000"/>
          <w:kern w:val="0"/>
          <w:sz w:val="32"/>
          <w:szCs w:val="32"/>
          <w:lang w:bidi="ar"/>
        </w:rPr>
        <w:t>（5）受突发事件影响的公民、法人和其他组织应迅速开展自救互救，并采取必要措施防止危害扩大；及时向新城区相关部门和单位报告安全隐患和受灾情况；服从救援抢险部门、</w:t>
      </w:r>
      <w:r>
        <w:rPr>
          <w:rFonts w:hint="eastAsia" w:ascii="仿宋_GB2312" w:hAnsi="仿宋_GB2312" w:eastAsia="仿宋_GB2312" w:cs="仿宋_GB2312"/>
          <w:bCs w:val="0"/>
          <w:color w:val="000000"/>
          <w:kern w:val="0"/>
          <w:sz w:val="32"/>
          <w:szCs w:val="32"/>
          <w:lang w:eastAsia="zh-CN" w:bidi="ar"/>
        </w:rPr>
        <w:t>镇（街道）、</w:t>
      </w:r>
      <w:r>
        <w:rPr>
          <w:rFonts w:hint="eastAsia" w:ascii="仿宋_GB2312" w:hAnsi="仿宋_GB2312" w:eastAsia="仿宋_GB2312" w:cs="仿宋_GB2312"/>
          <w:bCs w:val="0"/>
          <w:color w:val="000000"/>
          <w:kern w:val="0"/>
          <w:sz w:val="32"/>
          <w:szCs w:val="32"/>
          <w:lang w:val="en-US" w:eastAsia="zh-CN" w:bidi="ar"/>
        </w:rPr>
        <w:t>区域服务中心</w:t>
      </w:r>
      <w:r>
        <w:rPr>
          <w:rFonts w:hint="eastAsia" w:ascii="仿宋_GB2312" w:hAnsi="仿宋_GB2312" w:eastAsia="仿宋_GB2312" w:cs="仿宋_GB2312"/>
          <w:bCs w:val="0"/>
          <w:color w:val="000000"/>
          <w:kern w:val="0"/>
          <w:sz w:val="32"/>
          <w:szCs w:val="32"/>
          <w:lang w:bidi="ar"/>
        </w:rPr>
        <w:t>的指挥和安排，配合做好应急处置和救援工作。</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45" w:name="_Toc11253"/>
      <w:r>
        <w:rPr>
          <w:rFonts w:hint="eastAsia"/>
        </w:rPr>
        <w:t>4.3 指挥协调</w:t>
      </w:r>
      <w:bookmarkEnd w:id="45"/>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jc w:val="both"/>
        <w:textAlignment w:val="auto"/>
        <w:rPr>
          <w:rFonts w:ascii="仿宋_GB2312" w:hAnsi="仿宋_GB2312" w:eastAsia="仿宋_GB2312" w:cs="仿宋_GB2312"/>
        </w:rPr>
      </w:pPr>
      <w:bookmarkStart w:id="46" w:name="_Toc12301"/>
      <w:bookmarkStart w:id="47" w:name="_Toc15652"/>
      <w:bookmarkStart w:id="48" w:name="_Toc6096"/>
      <w:bookmarkStart w:id="49" w:name="_Toc25044"/>
      <w:bookmarkStart w:id="50" w:name="_Toc7392"/>
      <w:bookmarkStart w:id="51" w:name="_Toc1644"/>
      <w:bookmarkStart w:id="52" w:name="_Toc5818"/>
      <w:bookmarkStart w:id="53" w:name="_Toc13562"/>
      <w:bookmarkStart w:id="54" w:name="_Toc15253"/>
      <w:bookmarkStart w:id="55" w:name="_Toc23939"/>
      <w:bookmarkStart w:id="56" w:name="_Toc11234"/>
      <w:bookmarkStart w:id="57" w:name="_Toc89032903"/>
      <w:r>
        <w:rPr>
          <w:rFonts w:hint="eastAsia" w:ascii="仿宋_GB2312" w:hAnsi="仿宋_GB2312" w:eastAsia="仿宋_GB2312" w:cs="仿宋_GB2312"/>
        </w:rPr>
        <w:t>4.3.1 组织指挥</w:t>
      </w:r>
      <w:bookmarkEnd w:id="46"/>
      <w:bookmarkEnd w:id="47"/>
      <w:bookmarkEnd w:id="48"/>
      <w:bookmarkEnd w:id="49"/>
      <w:bookmarkEnd w:id="50"/>
      <w:bookmarkEnd w:id="51"/>
      <w:bookmarkEnd w:id="52"/>
      <w:bookmarkEnd w:id="53"/>
      <w:bookmarkEnd w:id="54"/>
      <w:bookmarkEnd w:id="55"/>
    </w:p>
    <w:bookmarkEnd w:id="56"/>
    <w:bookmarkEnd w:id="57"/>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hAnsi="仿宋_GB2312" w:cs="仿宋_GB2312"/>
          <w:bCs/>
          <w:szCs w:val="32"/>
        </w:rPr>
      </w:pPr>
      <w:bookmarkStart w:id="58" w:name="_Toc2652"/>
      <w:bookmarkStart w:id="59" w:name="_Toc5061"/>
      <w:bookmarkStart w:id="60" w:name="_Toc17155"/>
      <w:bookmarkStart w:id="61" w:name="_Toc28877"/>
      <w:r>
        <w:rPr>
          <w:rFonts w:hint="eastAsia" w:ascii="仿宋_GB2312" w:hAnsi="仿宋_GB2312" w:cs="仿宋_GB2312"/>
          <w:bCs/>
          <w:szCs w:val="32"/>
        </w:rPr>
        <w:t>启动应急响应，根据突发事件发生、发展情形，必要时，由区政府负责同志带领工作组赴现场指导突发事件应对工作。根据突发事件类型启动相应区专项应急预案，新城区专项应急指挥机构负责人、相关部门负责人和专家，迅速赶往事发现场，指挥协调应急处置与救援等工作。</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textAlignment w:val="auto"/>
        <w:rPr>
          <w:rFonts w:ascii="仿宋_GB2312" w:hAnsi="仿宋_GB2312" w:eastAsia="仿宋_GB2312" w:cs="仿宋_GB2312"/>
        </w:rPr>
      </w:pPr>
      <w:bookmarkStart w:id="62" w:name="_Toc21695"/>
      <w:bookmarkStart w:id="63" w:name="_Toc20294"/>
      <w:bookmarkStart w:id="64" w:name="_Toc16119"/>
      <w:bookmarkStart w:id="65" w:name="_Toc31821"/>
      <w:bookmarkStart w:id="66" w:name="_Toc16338"/>
      <w:bookmarkStart w:id="67" w:name="_Toc28840"/>
      <w:bookmarkStart w:id="68" w:name="_Toc25570"/>
      <w:r>
        <w:rPr>
          <w:rFonts w:hint="eastAsia" w:ascii="仿宋_GB2312" w:hAnsi="仿宋_GB2312" w:eastAsia="仿宋_GB2312" w:cs="仿宋_GB2312"/>
        </w:rPr>
        <w:t>4.3.2 现场指挥</w:t>
      </w:r>
      <w:bookmarkEnd w:id="58"/>
      <w:bookmarkEnd w:id="59"/>
      <w:bookmarkEnd w:id="60"/>
      <w:bookmarkEnd w:id="61"/>
      <w:bookmarkEnd w:id="62"/>
      <w:bookmarkEnd w:id="63"/>
      <w:bookmarkEnd w:id="64"/>
      <w:bookmarkEnd w:id="65"/>
      <w:bookmarkEnd w:id="66"/>
      <w:bookmarkEnd w:id="67"/>
      <w:bookmarkEnd w:id="68"/>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履行统一领导职责或者组织处置突发事件的人民政府应当根据应急预案和处置突发事件的需要，设立现场指挥部</w:t>
      </w:r>
      <w:r>
        <w:rPr>
          <w:rFonts w:hint="eastAsia" w:ascii="仿宋_GB2312" w:hAnsi="仿宋_GB2312" w:cs="仿宋_GB2312"/>
          <w:bCs/>
          <w:szCs w:val="32"/>
          <w:lang w:eastAsia="zh-CN"/>
        </w:rPr>
        <w:t>，</w:t>
      </w:r>
      <w:r>
        <w:rPr>
          <w:rFonts w:hint="eastAsia" w:ascii="仿宋_GB2312" w:hAnsi="仿宋_GB2312" w:cs="仿宋_GB2312"/>
          <w:bCs/>
          <w:szCs w:val="32"/>
        </w:rPr>
        <w:t>负责统一组织、指挥应急处置和救援工作，决定采取控制、平息事态的应急处置措施。</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现场指挥部</w:t>
      </w:r>
      <w:r>
        <w:rPr>
          <w:rFonts w:hint="eastAsia" w:ascii="仿宋_GB2312" w:hAnsi="仿宋_GB2312" w:cs="仿宋_GB2312"/>
          <w:bCs/>
          <w:szCs w:val="32"/>
          <w:highlight w:val="none"/>
        </w:rPr>
        <w:t>由现场总指挥</w:t>
      </w:r>
      <w:r>
        <w:rPr>
          <w:rFonts w:hint="eastAsia" w:ascii="仿宋_GB2312" w:hAnsi="仿宋_GB2312" w:cs="仿宋_GB2312"/>
          <w:bCs/>
          <w:szCs w:val="32"/>
        </w:rPr>
        <w:t>、现场副总指挥和现场各工作组组长组成，实行现场总指挥负责制。现场总指挥行使重要事项决策和行政协调权，现场副总指挥行使专业处置权。现场副总指挥由熟悉突发事件情况与应急预案，有较强的组织、指挥和协调能力，并具有一定应急处置和救援实战经验的人员担任。可根据实际情况设置专业处置组、宣传信息组、治安交通组、综合保障组、通信保障组、医疗救护组、专家顾问组等现场工作组，并确定联系人和通信方式。</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现场指挥部应开设统一的救援队伍集结点、物资接收点和分发点、新闻发布中心，并由</w:t>
      </w:r>
      <w:r>
        <w:rPr>
          <w:rFonts w:hint="eastAsia" w:ascii="仿宋_GB2312" w:hAnsi="仿宋_GB2312" w:cs="仿宋_GB2312"/>
          <w:bCs/>
          <w:szCs w:val="32"/>
          <w:lang w:val="en-US" w:eastAsia="zh-CN"/>
        </w:rPr>
        <w:t>指挥部办公室</w:t>
      </w:r>
      <w:r>
        <w:rPr>
          <w:rFonts w:hint="eastAsia" w:ascii="仿宋_GB2312" w:hAnsi="仿宋_GB2312" w:cs="仿宋_GB2312"/>
          <w:bCs/>
          <w:szCs w:val="32"/>
        </w:rPr>
        <w:t>提供必要的后勤保障。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现场指挥部设在灾害事故现场周边适当的位置，也可设在具有视频、音频、数据信息传输功能的指挥通信车辆上。要保证事件情况掌握及时，信息通信顺畅，指挥迅速且不间断。要建立专门工作标识，保证现场指挥部正常工作秩序。</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textAlignment w:val="auto"/>
        <w:rPr>
          <w:rFonts w:ascii="仿宋_GB2312" w:hAnsi="仿宋_GB2312" w:eastAsia="仿宋_GB2312" w:cs="仿宋_GB2312"/>
        </w:rPr>
      </w:pPr>
      <w:bookmarkStart w:id="69" w:name="_Toc3296"/>
      <w:bookmarkStart w:id="70" w:name="_Toc18534"/>
      <w:bookmarkStart w:id="71" w:name="_Toc1030"/>
      <w:bookmarkStart w:id="72" w:name="_Toc20466"/>
      <w:bookmarkStart w:id="73" w:name="_Toc1429"/>
      <w:bookmarkStart w:id="74" w:name="_Toc4629"/>
      <w:bookmarkStart w:id="75" w:name="_Toc22840"/>
      <w:bookmarkStart w:id="76" w:name="_Toc8492"/>
      <w:bookmarkStart w:id="77" w:name="_Toc13630"/>
      <w:bookmarkStart w:id="78" w:name="_Toc1024"/>
      <w:bookmarkStart w:id="79" w:name="_Toc5593"/>
      <w:r>
        <w:rPr>
          <w:rFonts w:hint="eastAsia" w:ascii="仿宋_GB2312" w:hAnsi="仿宋_GB2312" w:eastAsia="仿宋_GB2312" w:cs="仿宋_GB2312"/>
        </w:rPr>
        <w:t>4.3.3 协同</w:t>
      </w:r>
      <w:bookmarkEnd w:id="69"/>
      <w:bookmarkEnd w:id="70"/>
      <w:bookmarkEnd w:id="71"/>
      <w:bookmarkEnd w:id="72"/>
      <w:r>
        <w:rPr>
          <w:rFonts w:hint="eastAsia" w:ascii="仿宋_GB2312" w:hAnsi="仿宋_GB2312" w:eastAsia="仿宋_GB2312" w:cs="仿宋_GB2312"/>
        </w:rPr>
        <w:t>联动</w:t>
      </w:r>
      <w:bookmarkEnd w:id="73"/>
      <w:bookmarkEnd w:id="74"/>
      <w:bookmarkEnd w:id="75"/>
      <w:bookmarkEnd w:id="76"/>
      <w:bookmarkEnd w:id="77"/>
      <w:bookmarkEnd w:id="78"/>
      <w:bookmarkEnd w:id="79"/>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解放军、武警部队、消防救援队伍和专业应急救援队伍等在区委</w:t>
      </w:r>
      <w:r>
        <w:rPr>
          <w:rFonts w:hint="eastAsia" w:ascii="仿宋_GB2312" w:hAnsi="仿宋_GB2312" w:cs="仿宋_GB2312"/>
          <w:bCs/>
          <w:szCs w:val="32"/>
          <w:lang w:eastAsia="zh-CN"/>
        </w:rPr>
        <w:t>、</w:t>
      </w:r>
      <w:r>
        <w:rPr>
          <w:rFonts w:hint="eastAsia" w:ascii="仿宋_GB2312" w:hAnsi="仿宋_GB2312" w:cs="仿宋_GB2312"/>
          <w:bCs/>
          <w:szCs w:val="32"/>
          <w:lang w:val="en-US" w:eastAsia="zh-CN"/>
        </w:rPr>
        <w:t>区</w:t>
      </w:r>
      <w:r>
        <w:rPr>
          <w:rFonts w:hint="eastAsia" w:ascii="仿宋_GB2312" w:hAnsi="仿宋_GB2312" w:cs="仿宋_GB2312"/>
          <w:bCs/>
          <w:szCs w:val="32"/>
        </w:rPr>
        <w:t>政府的统一领导下，按规定的指挥关系、指挥权限和协同机制，参加突发事件应急处置和救援。社会组织参与突发事件应急处置与救援，纳入现场指挥机构统一管理、统一调动、统一行动。各级应急指挥机构根据突发事件现场实际情况，及时调度指挥相关应急资源开展应急处置与救援行动。</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80" w:name="_Toc21899"/>
      <w:r>
        <w:rPr>
          <w:rFonts w:hint="eastAsia"/>
        </w:rPr>
        <w:t>4.4 处置措施</w:t>
      </w:r>
      <w:bookmarkEnd w:id="80"/>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当发生各类突发事件时，按各类专项预案的规定采取针对性的处置措施。</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textAlignment w:val="auto"/>
        <w:rPr>
          <w:rFonts w:ascii="仿宋_GB2312" w:hAnsi="仿宋_GB2312" w:eastAsia="仿宋_GB2312" w:cs="仿宋_GB2312"/>
        </w:rPr>
      </w:pPr>
      <w:bookmarkStart w:id="81" w:name="_Toc3909"/>
      <w:bookmarkStart w:id="82" w:name="_Toc25588"/>
      <w:bookmarkStart w:id="83" w:name="_Toc26094"/>
      <w:bookmarkStart w:id="84" w:name="_Toc19586"/>
      <w:bookmarkStart w:id="85" w:name="_Toc7817"/>
      <w:bookmarkStart w:id="86" w:name="_Toc10547"/>
      <w:bookmarkStart w:id="87" w:name="_Toc5223"/>
      <w:bookmarkStart w:id="88" w:name="_Toc32565"/>
      <w:bookmarkStart w:id="89" w:name="_Toc10258"/>
      <w:bookmarkStart w:id="90" w:name="_Toc89032908"/>
      <w:bookmarkStart w:id="91" w:name="_Toc4843"/>
      <w:r>
        <w:rPr>
          <w:rFonts w:hint="eastAsia" w:ascii="仿宋_GB2312" w:hAnsi="仿宋_GB2312" w:eastAsia="仿宋_GB2312" w:cs="仿宋_GB2312"/>
        </w:rPr>
        <w:t>4.4.1 自然灾害、事故灾难</w:t>
      </w:r>
      <w:bookmarkEnd w:id="81"/>
      <w:bookmarkEnd w:id="82"/>
      <w:bookmarkEnd w:id="83"/>
      <w:r>
        <w:rPr>
          <w:rFonts w:hint="eastAsia" w:ascii="仿宋_GB2312" w:hAnsi="仿宋_GB2312" w:eastAsia="仿宋_GB2312" w:cs="仿宋_GB2312"/>
        </w:rPr>
        <w:t>和公共卫生事件</w:t>
      </w:r>
      <w:bookmarkEnd w:id="84"/>
      <w:bookmarkEnd w:id="85"/>
      <w:bookmarkEnd w:id="86"/>
      <w:bookmarkEnd w:id="87"/>
      <w:bookmarkEnd w:id="88"/>
      <w:bookmarkEnd w:id="89"/>
    </w:p>
    <w:bookmarkEnd w:id="90"/>
    <w:bookmarkEnd w:id="91"/>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自然灾害、事故灾难或公共卫生事件发生后，针对事件的性质和特点，应采取下列一项或者多项应急措施：</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组织现场人员、应急测绘和勘察队伍等，利用卫星和无人机遥感、北斗导航、雷达测量、地面勘察等手段获取现场影像，分析研判道路、桥梁、通信、电力等基础设施和居民住房损毁情况，重要目标物、人员密集场所和人口分布等信息，提出初步评估意见，并向现场指挥机构和有关部门报告；</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（2）组织营救受灾和被困人员，疏散、撤离并妥善安置受威胁人员，必要时组织动员社会应急力量有序参与应急处置与救援、受灾人员救助工作；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3）组织开展伤病员救治、卫生防疫和公共卫生调查处理、应急心理援助等医疗卫生救援工作，治疗传染病人和疑似病例，控制传染源，观察密切接触者，对易感人群采取应急接种、预防性服药和卫生防疫知识宣传；</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（4）迅速组织开展抢险工作，控制危险源、减轻或者消除危害，并标明危险区域，封锁危险场所，划定警戒区，实行交通管制以及其他控制措施；</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（5）立即抢修被损坏的交通、水利、通信、供（排）水、供电、供气、供热等公共设施，短时难以恢复的，要实施临时过渡方案，保障社会生产生活基本需要；</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6）开展环境应急监测，追踪研判污染范围、程度和发展趋势。切断污染源，控制和处置污染物，保护饮用水水源地等环境敏感目标，减轻环境影响。开展灾后环境风险排查，整治污染隐患，妥善处置事件应对产生的废物；</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（7）禁止或者限制使用有关设备、设施，关闭或者限制使用有关场所，中止人员密集的活动或者可能导致危害扩大的生产经营活动，视情采取其他相关保护措施；</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（8）启用本级人民政府设置的预算预备费或者预算安排的应急经费和储备的应急救援、救灾物资，必要时依法征用其他急需物资、设备、设施、工具；</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9）做好受灾群众的基本生活保障工作，提供食品、饮用水、衣被、燃料等基本生活物资和临时住所，开展卫生防疫工作，确保灾区群众有饭吃、有水喝、有衣穿、有住处、有学上、有病能及时得到医治，确保大灾之后无大疫；</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（10）开展遇难人员善后处置工作，妥善处理遇难人员遗体，做好遇难人员家属安抚，加强群众心理疏导和危机干预等工作；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rPr>
        <w:t>（11）组织开展救灾捐赠活动，接收、管理、分配救灾捐赠款物</w:t>
      </w:r>
      <w:r>
        <w:rPr>
          <w:rFonts w:hint="eastAsia" w:ascii="仿宋_GB2312" w:hAnsi="仿宋_GB2312" w:eastAsia="仿宋_GB2312" w:cs="仿宋_GB2312"/>
          <w:lang w:eastAsia="zh-CN"/>
        </w:rPr>
        <w:t>；</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12</w:t>
      </w:r>
      <w:r>
        <w:rPr>
          <w:rFonts w:hint="eastAsia" w:ascii="仿宋_GB2312" w:hAnsi="仿宋_GB2312" w:eastAsia="仿宋_GB2312" w:cs="仿宋_GB2312"/>
          <w:lang w:eastAsia="zh-CN"/>
        </w:rPr>
        <w:t>）</w:t>
      </w:r>
      <w:r>
        <w:rPr>
          <w:rFonts w:hint="eastAsia" w:ascii="仿宋_GB2312" w:hAnsi="仿宋_GB2312" w:eastAsia="仿宋_GB2312" w:cs="仿宋_GB2312"/>
        </w:rPr>
        <w:t>依法从严惩处囤积居奇、哄抬物价、制假售假等扰乱市场秩序的行为，稳定市场价格，维护市场秩序</w:t>
      </w:r>
      <w:r>
        <w:rPr>
          <w:rFonts w:hint="eastAsia" w:ascii="仿宋_GB2312" w:hAnsi="仿宋_GB2312" w:eastAsia="仿宋_GB2312" w:cs="仿宋_GB2312"/>
          <w:lang w:eastAsia="zh-CN"/>
        </w:rPr>
        <w:t>；</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13</w:t>
      </w:r>
      <w:r>
        <w:rPr>
          <w:rFonts w:hint="eastAsia" w:ascii="仿宋_GB2312" w:hAnsi="仿宋_GB2312" w:eastAsia="仿宋_GB2312" w:cs="仿宋_GB2312"/>
          <w:lang w:eastAsia="zh-CN"/>
        </w:rPr>
        <w:t>）</w:t>
      </w:r>
      <w:r>
        <w:rPr>
          <w:rFonts w:hint="eastAsia" w:ascii="仿宋_GB2312" w:hAnsi="仿宋_GB2312" w:eastAsia="仿宋_GB2312" w:cs="仿宋_GB2312"/>
        </w:rPr>
        <w:t>依法从严惩处哄抢财物、干扰破坏应急处置工作等扰乱社会秩序的行为，维护社会治安；</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4</w:t>
      </w:r>
      <w:r>
        <w:rPr>
          <w:rFonts w:hint="eastAsia" w:ascii="仿宋_GB2312" w:hAnsi="仿宋_GB2312" w:eastAsia="仿宋_GB2312" w:cs="仿宋_GB2312"/>
        </w:rPr>
        <w:t>）分析预判灾害事件再次发生发展的趋势，采取防止发生次生、衍生灾害和事件的必要措施。</w:t>
      </w:r>
    </w:p>
    <w:p>
      <w:pPr>
        <w:pStyle w:val="6"/>
        <w:keepNext w:val="0"/>
        <w:pageBreakBefore w:val="0"/>
        <w:widowControl w:val="0"/>
        <w:kinsoku/>
        <w:wordWrap/>
        <w:overflowPunct/>
        <w:topLinePunct w:val="0"/>
        <w:autoSpaceDE/>
        <w:autoSpaceDN/>
        <w:bidi w:val="0"/>
        <w:adjustRightInd w:val="0"/>
        <w:snapToGrid w:val="0"/>
        <w:spacing w:before="0" w:after="0" w:line="360" w:lineRule="auto"/>
        <w:ind w:firstLine="640" w:firstLineChars="200"/>
        <w:jc w:val="both"/>
        <w:textAlignment w:val="auto"/>
        <w:rPr>
          <w:rFonts w:hint="eastAsia" w:ascii="仿宋_GB2312" w:hAnsi="仿宋_GB2312" w:eastAsia="仿宋_GB2312" w:cs="仿宋_GB2312"/>
        </w:rPr>
      </w:pPr>
      <w:bookmarkStart w:id="92" w:name="_Toc22702"/>
      <w:bookmarkStart w:id="93" w:name="_Toc8826"/>
      <w:bookmarkStart w:id="94" w:name="_Toc30206"/>
      <w:bookmarkStart w:id="95" w:name="_Toc2380"/>
      <w:bookmarkStart w:id="96" w:name="_Toc15563"/>
      <w:bookmarkStart w:id="97" w:name="_Toc15629"/>
      <w:r>
        <w:rPr>
          <w:rFonts w:hint="eastAsia" w:ascii="仿宋_GB2312" w:hAnsi="仿宋_GB2312" w:eastAsia="仿宋_GB2312" w:cs="仿宋_GB2312"/>
        </w:rPr>
        <w:t>4.4.2 社会安全事件</w:t>
      </w:r>
      <w:bookmarkEnd w:id="92"/>
      <w:bookmarkEnd w:id="93"/>
      <w:bookmarkEnd w:id="94"/>
      <w:bookmarkEnd w:id="95"/>
      <w:bookmarkEnd w:id="96"/>
      <w:bookmarkEnd w:id="97"/>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rPr>
        <w:t>社会安全事件发生后，针对事件的性质和特点，应采取下列一项或者多项应急措施</w:t>
      </w:r>
      <w:r>
        <w:rPr>
          <w:rFonts w:hint="eastAsia" w:ascii="仿宋_GB2312" w:hAnsi="仿宋_GB2312" w:eastAsia="仿宋_GB2312" w:cs="仿宋_GB2312"/>
          <w:lang w:eastAsia="zh-CN"/>
        </w:rPr>
        <w:t>：</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 xml:space="preserve">（1）尽快了解和分析事件起因，有针对性开展法制宣传和说服教育，及时疏导、化解矛盾和冲突； </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 xml:space="preserve">（2）维护现场治安秩序，对使用器械相互对抗或者以暴力行为参与冲突的当事人实行强制隔离，妥善解决现场纠纷和争端，控制事态发展； </w:t>
      </w:r>
    </w:p>
    <w:p>
      <w:pPr>
        <w:pageBreakBefore w:val="0"/>
        <w:widowControl w:val="0"/>
        <w:kinsoku/>
        <w:wordWrap/>
        <w:overflowPunct/>
        <w:topLinePunct w:val="0"/>
        <w:autoSpaceDE/>
        <w:autoSpaceDN/>
        <w:bidi w:val="0"/>
        <w:spacing w:line="360" w:lineRule="auto"/>
        <w:ind w:firstLine="640" w:firstLineChars="200"/>
        <w:jc w:val="left"/>
        <w:textAlignment w:val="auto"/>
        <w:rPr>
          <w:rFonts w:hint="eastAsia" w:ascii="仿宋_GB2312" w:hAnsi="仿宋_GB2312" w:eastAsia="仿宋_GB2312" w:cs="仿宋_GB2312"/>
        </w:rPr>
      </w:pPr>
      <w:r>
        <w:rPr>
          <w:rFonts w:hint="eastAsia" w:ascii="仿宋" w:hAnsi="仿宋" w:eastAsia="仿宋" w:cs="仿宋"/>
        </w:rPr>
        <w:t>（3</w:t>
      </w:r>
      <w:r>
        <w:rPr>
          <w:rFonts w:hint="eastAsia"/>
        </w:rPr>
        <w:t>）对特定区域内的建筑物、交通工具、设备、设施以</w:t>
      </w:r>
      <w:r>
        <w:rPr>
          <w:rFonts w:hint="eastAsia" w:ascii="仿宋_GB2312" w:hAnsi="仿宋_GB2312" w:eastAsia="仿宋_GB2312" w:cs="仿宋_GB2312"/>
        </w:rPr>
        <w:t xml:space="preserve">及燃料、燃气、电力、水的供应进行控制，必要时依法依规对网络、通信进行管控； </w:t>
      </w:r>
    </w:p>
    <w:p>
      <w:pPr>
        <w:pageBreakBefore w:val="0"/>
        <w:widowControl w:val="0"/>
        <w:kinsoku/>
        <w:wordWrap/>
        <w:overflowPunct/>
        <w:topLinePunct w:val="0"/>
        <w:autoSpaceDE/>
        <w:autoSpaceDN/>
        <w:bidi w:val="0"/>
        <w:spacing w:line="360" w:lineRule="auto"/>
        <w:ind w:firstLine="64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 xml:space="preserve">（4）封锁有关场所、道路，查验现场人员身份证件，限制有关公共场所内的活动； </w:t>
      </w:r>
    </w:p>
    <w:p>
      <w:pPr>
        <w:pageBreakBefore w:val="0"/>
        <w:widowControl w:val="0"/>
        <w:kinsoku/>
        <w:wordWrap/>
        <w:overflowPunct/>
        <w:topLinePunct w:val="0"/>
        <w:autoSpaceDE/>
        <w:autoSpaceDN/>
        <w:bidi w:val="0"/>
        <w:spacing w:line="360" w:lineRule="auto"/>
        <w:ind w:firstLine="64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 xml:space="preserve">（5）加强对易受冲击的核心机关和单位的警卫，在党政机关、军事机关、广播电台、电视台等单位附近设置临时警戒线，加强对重点敏感人员、场所、部位和标志性建筑的安全保护； </w:t>
      </w:r>
    </w:p>
    <w:p>
      <w:pPr>
        <w:pageBreakBefore w:val="0"/>
        <w:widowControl w:val="0"/>
        <w:kinsoku/>
        <w:wordWrap/>
        <w:overflowPunct/>
        <w:topLinePunct w:val="0"/>
        <w:autoSpaceDE/>
        <w:autoSpaceDN/>
        <w:bidi w:val="0"/>
        <w:spacing w:line="360" w:lineRule="auto"/>
        <w:ind w:firstLine="64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 xml:space="preserve">（6）严重危害社会治安秩序的事件发生时，立即依法出动警力，加大社会面检查、巡逻、控制力度，根据现场情况依法采取相应的强制性措施，尽快使社会秩序恢复正常； </w:t>
      </w:r>
    </w:p>
    <w:p>
      <w:pPr>
        <w:pageBreakBefore w:val="0"/>
        <w:widowControl w:val="0"/>
        <w:kinsoku/>
        <w:wordWrap/>
        <w:overflowPunct/>
        <w:topLinePunct w:val="0"/>
        <w:autoSpaceDE/>
        <w:autoSpaceDN/>
        <w:bidi w:val="0"/>
        <w:spacing w:line="360" w:lineRule="auto"/>
        <w:ind w:firstLine="64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 xml:space="preserve">（7）法律、法规等规定的其他必要措施。 </w:t>
      </w:r>
    </w:p>
    <w:p>
      <w:pPr>
        <w:pageBreakBefore w:val="0"/>
        <w:widowControl w:val="0"/>
        <w:kinsoku/>
        <w:wordWrap/>
        <w:overflowPunct/>
        <w:topLinePunct w:val="0"/>
        <w:autoSpaceDE/>
        <w:autoSpaceDN/>
        <w:bidi w:val="0"/>
        <w:spacing w:line="360" w:lineRule="auto"/>
        <w:ind w:firstLine="64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rPr>
        <w:t xml:space="preserve">4.4.3交通运输、医学救援、能源供应、通信保障、抢险救援物资装备、自然灾害救助、社会秩序、新闻宣传等应急保障工作牵头协调部门和支持部门应快速联动，按照职能职责做好应急保障工作。 </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98" w:name="_Toc21594"/>
      <w:r>
        <w:rPr>
          <w:rFonts w:hint="eastAsia"/>
        </w:rPr>
        <w:t>4.5 信息发布与舆论引导</w:t>
      </w:r>
      <w:bookmarkEnd w:id="98"/>
    </w:p>
    <w:p>
      <w:pPr>
        <w:pageBreakBefore w:val="0"/>
        <w:widowControl w:val="0"/>
        <w:kinsoku/>
        <w:wordWrap/>
        <w:overflowPunct/>
        <w:topLinePunct w:val="0"/>
        <w:autoSpaceDE/>
        <w:autoSpaceDN/>
        <w:bidi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区政府会同区委宣传</w:t>
      </w:r>
      <w:r>
        <w:rPr>
          <w:rFonts w:hint="eastAsia" w:ascii="仿宋_GB2312" w:hAnsi="仿宋_GB2312" w:cs="仿宋_GB2312"/>
          <w:bCs/>
          <w:szCs w:val="32"/>
          <w:lang w:val="en-US" w:eastAsia="zh-CN"/>
        </w:rPr>
        <w:t>部</w:t>
      </w:r>
      <w:r>
        <w:rPr>
          <w:rFonts w:hint="eastAsia" w:ascii="仿宋_GB2312" w:hAnsi="仿宋_GB2312" w:cs="仿宋_GB2312"/>
          <w:bCs/>
          <w:szCs w:val="32"/>
        </w:rPr>
        <w:t>制定统一的信息发布方案，与相关突发事件应对处置工作同时研究、同时部署、同步行动。对可能受到突发事件后果直接威胁的社会公众，应按照本预案监测与预警有关要求及时发布预警信息。</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1）特别重大、重大突发事件发生后，配合市人民做好信息发布相关工作，最迟应在5小时内发布权威信息，随后发布初步核实情况、政府应对措施和公众防范措施等。较大、一般突发事件发生后，区政府及时发布权威信息，根据处置进展动态发布信息。法律法规和国家另有规定的，从其规定。</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 xml:space="preserve">（2）信息发布形式主要包括提供新闻稿、举行新闻发布会、接受媒体采访，以及运用官方网站、微博、微信、移动客户端、手机短信等官方信息平台等发布。 </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（3）由宣传部门牵头，要加强网络媒体、移动新媒体信息发布内容管理和舆情分析，及时回应社会关切，迅速澄清谣言，引导网民依法、理性表达意见，形成积极健康的社会舆论。</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5）未经区委、区政府批准，参与突发事件应急处置工作的各有关单位和个人不得擅自对外发布事件原因、伤亡数字、责任追究等有关突发事件处置工作的情况和事态发展的信息。任何单位和个人不得编造、传播有关突发事件事态发展或者应急处置工作的虚假信息。</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99" w:name="_Toc22504"/>
      <w:r>
        <w:rPr>
          <w:rFonts w:hint="eastAsia"/>
        </w:rPr>
        <w:t>4.5 紧急状态</w:t>
      </w:r>
      <w:bookmarkEnd w:id="99"/>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highlight w:val="none"/>
        </w:rPr>
      </w:pPr>
      <w:r>
        <w:rPr>
          <w:rFonts w:hint="eastAsia" w:ascii="仿宋_GB2312" w:hAnsi="仿宋_GB2312" w:cs="仿宋_GB2312"/>
          <w:bCs/>
          <w:szCs w:val="32"/>
          <w:highlight w:val="none"/>
        </w:rPr>
        <w:t>发生或者即将发生特别重大突发事件，采取一般处置措施无法控制和消除其严重社会危害，预计依靠新城区现有应急资源和人力难以实施有效处置时，需要宣布新城区或者部分地区进入紧急状态的，</w:t>
      </w:r>
      <w:r>
        <w:rPr>
          <w:rFonts w:hint="eastAsia" w:ascii="仿宋_GB2312" w:hAnsi="仿宋_GB2312" w:eastAsia="仿宋_GB2312" w:cs="仿宋_GB2312"/>
          <w:bCs/>
          <w:color w:val="auto"/>
          <w:sz w:val="32"/>
          <w:szCs w:val="32"/>
          <w:highlight w:val="none"/>
          <w:lang w:val="en-US" w:eastAsia="zh-CN"/>
        </w:rPr>
        <w:t>依法逐级提请至国务院决定</w:t>
      </w:r>
      <w:r>
        <w:rPr>
          <w:rFonts w:hint="eastAsia" w:ascii="仿宋_GB2312" w:hAnsi="仿宋_GB2312" w:cs="仿宋_GB2312"/>
          <w:bCs/>
          <w:szCs w:val="32"/>
          <w:highlight w:val="none"/>
        </w:rPr>
        <w:t>。新闻媒体公布紧急状态的决定，按照国家和内蒙古自治区有关规定执行。</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00" w:name="_Toc14665"/>
      <w:r>
        <w:rPr>
          <w:rFonts w:hint="eastAsia"/>
        </w:rPr>
        <w:t>4.6 应急结束</w:t>
      </w:r>
      <w:bookmarkEnd w:id="100"/>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应急处置工作结束或有关威胁和危害得到控制、消除后，履行统一领导职责的人民政府宣布应急结束或逐步停止有关应急处置措施，应急队伍和工作人员有序撤离。同时，采取或者继续实施必要措施，防止发生自然灾害、事故灾难、公共卫生事件的次生、衍生事件或者重新引发社会安全事件。现场指挥部工作结束后，通知相关方面解除应急措施，进入过渡时期，逐步恢复生产生活秩序。</w:t>
      </w:r>
    </w:p>
    <w:p>
      <w:pPr>
        <w:pStyle w:val="2"/>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101" w:name="_Toc14265"/>
      <w:r>
        <w:rPr>
          <w:rFonts w:hint="eastAsia"/>
        </w:rPr>
        <w:t>5 后期处置</w:t>
      </w:r>
      <w:bookmarkEnd w:id="101"/>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02" w:name="_Toc24738"/>
      <w:r>
        <w:rPr>
          <w:rFonts w:hint="eastAsia"/>
        </w:rPr>
        <w:t>5.1 善后处置</w:t>
      </w:r>
      <w:bookmarkEnd w:id="102"/>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区政府应当根据事发地区遭受损失的情况，制订救助、补偿、抚慰、抚恤、安置等善后工作方案，妥善解决因处置突发事件引发的矛盾和纠纷。对突发事件中的伤亡人员按照规定给予抚恤、救助，并提供心理辅导与司法援助；对紧急调集、征用有关部门和单位及个人的物资按照规定给予补偿。有关部门和单位做好疫病防治和环境污染消除等工作。事发地保险监管机构应当组织、督促有关保险机构及时开展查勘和理赔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行业主管部门会同属地</w:t>
      </w:r>
      <w:r>
        <w:rPr>
          <w:rFonts w:hint="eastAsia" w:ascii="仿宋_GB2312" w:hAnsi="仿宋_GB2312" w:cs="仿宋_GB2312"/>
          <w:bCs/>
          <w:szCs w:val="32"/>
          <w:lang w:eastAsia="zh-CN"/>
        </w:rPr>
        <w:t>镇（街道）、</w:t>
      </w:r>
      <w:r>
        <w:rPr>
          <w:rFonts w:hint="eastAsia" w:ascii="仿宋_GB2312" w:hAnsi="仿宋_GB2312" w:cs="仿宋_GB2312"/>
          <w:bCs/>
          <w:szCs w:val="32"/>
          <w:lang w:val="en-US" w:eastAsia="zh-CN"/>
        </w:rPr>
        <w:t>区域服务中心</w:t>
      </w:r>
      <w:r>
        <w:rPr>
          <w:rFonts w:hint="eastAsia" w:ascii="仿宋_GB2312" w:hAnsi="仿宋_GB2312" w:cs="仿宋_GB2312"/>
          <w:bCs/>
          <w:szCs w:val="32"/>
        </w:rPr>
        <w:t>，组织有关单位和专业技术力量，按照有关规定对突发事件造成的损失进行统计、核实和上报。</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03" w:name="_Toc5484"/>
      <w:r>
        <w:rPr>
          <w:rFonts w:hint="eastAsia"/>
        </w:rPr>
        <w:t>5.2 恢复重建</w:t>
      </w:r>
      <w:bookmarkEnd w:id="103"/>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健全灾后恢复重建机制，加大资金、政策、规划统筹，促进资源融合，效能提升。强化属地重建主体责任，建立务实高效的灾后恢复重建推进体系。尊重群众首创精神，引导开展自力更生、生产自救活动。</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应急处置工作结束后，区政府会同各部门要立即组织制定恢复重建计划，并向市政府报告。区政府要及时组织和协调发展、财政、民政、公安、交通运输、铁路、民航、工业和信息化、住房城乡建设、水利、能源等有关部门恢复社会秩序，尽快恢复被损坏的交通、水利、通讯、供水、排水、供电、供气、供热等公共设施。</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各专项指挥部会同财政、民政等部门，及时提供需要的资金、物资支持和技术支持，组织其他地区提供资金、物资和人力支援。需要市政府及有关部门提供援助的，由区政府或事故行业主管部门提出请求。</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04" w:name="_Toc5753"/>
      <w:bookmarkStart w:id="105" w:name="_Toc2184"/>
      <w:bookmarkStart w:id="106" w:name="_Toc21488"/>
      <w:r>
        <w:rPr>
          <w:rFonts w:hint="eastAsia"/>
        </w:rPr>
        <w:t>5.3 调查与评估</w:t>
      </w:r>
      <w:bookmarkEnd w:id="104"/>
      <w:bookmarkEnd w:id="105"/>
      <w:bookmarkEnd w:id="106"/>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rPr>
        <w:t>一般以下级别突发事件</w:t>
      </w:r>
      <w:r>
        <w:rPr>
          <w:rFonts w:hint="eastAsia" w:ascii="仿宋_GB2312" w:hAnsi="仿宋_GB2312" w:cs="仿宋_GB2312"/>
          <w:bCs/>
          <w:szCs w:val="32"/>
        </w:rPr>
        <w:t>发生后，应由相关行业主管部门牵头，及时查明突发事件的发生经过和原因，对突发事件造成的损失进行评估；负责组织开展突发事件调查与处置的部门对应急处置工作进行复盘分析，总结经验教训，制定改进措施；并将调查和评估情况向区政府报告。</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ascii="仿宋_GB2312" w:hAnsi="仿宋_GB2312" w:cs="仿宋_GB2312"/>
          <w:bCs/>
          <w:szCs w:val="32"/>
        </w:rPr>
        <w:t>对于较大及以上</w:t>
      </w:r>
      <w:r>
        <w:rPr>
          <w:rFonts w:hint="eastAsia"/>
        </w:rPr>
        <w:t>级别突发事件，新城区各部门按上级要求参与调查与评估。有关法律、法规或国务院及其有关部门对突发事件调查、评估工作另有规定的，依照其规定。</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应急处置结束后，由行业主管部门牵头，针对事发地（单位）应急体系建设情况、监测预警与风险防范、指挥处置与救援救助工作，开展突发事件应对总结评估，形成总结评估报告，并将总结报告提交区政府。</w:t>
      </w:r>
    </w:p>
    <w:p>
      <w:pPr>
        <w:pStyle w:val="2"/>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pPr>
      <w:bookmarkStart w:id="107" w:name="_Toc32618"/>
      <w:r>
        <w:rPr>
          <w:rFonts w:hint="eastAsia"/>
        </w:rPr>
        <w:t>6 应急保障</w:t>
      </w:r>
      <w:bookmarkEnd w:id="107"/>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08" w:name="_Toc89032920"/>
      <w:bookmarkStart w:id="109" w:name="_Toc3805"/>
      <w:r>
        <w:rPr>
          <w:rFonts w:hint="eastAsia"/>
        </w:rPr>
        <w:t>6.1 通信与信息保障</w:t>
      </w:r>
      <w:bookmarkEnd w:id="108"/>
      <w:bookmarkEnd w:id="109"/>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由区工业和信息化局牵头，中国联通、</w:t>
      </w:r>
      <w:r>
        <w:rPr>
          <w:rFonts w:hint="eastAsia"/>
          <w:lang w:val="en-US" w:eastAsia="zh-CN"/>
        </w:rPr>
        <w:t>中国电信、</w:t>
      </w:r>
      <w:r>
        <w:rPr>
          <w:rFonts w:hint="eastAsia"/>
        </w:rPr>
        <w:t>中国移动等有关单位配合，建立应急通信保障机制，切实保障满足突发事件应急救援过程中的紧急通信</w:t>
      </w:r>
      <w:r>
        <w:rPr>
          <w:rFonts w:hint="eastAsia"/>
          <w:lang w:val="en-US" w:eastAsia="zh-CN"/>
        </w:rPr>
        <w:t>需求</w:t>
      </w:r>
      <w:r>
        <w:rPr>
          <w:rFonts w:hint="eastAsia"/>
        </w:rPr>
        <w:t>。</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区应急管理局牵头建立应急信息资源库，实现应急组织体系、知识库、预案、风险和隐患、应急救援队伍、应急物资、应急避难场所等信息资源的集中收集、维护、更新。并依托大数据和人工智能等先进技术开展应急指挥辅助决策应用。</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10" w:name="_Toc14605"/>
      <w:bookmarkStart w:id="111" w:name="_Toc5649"/>
      <w:r>
        <w:rPr>
          <w:rFonts w:hint="eastAsia"/>
        </w:rPr>
        <w:t>6.2 应急队伍保障</w:t>
      </w:r>
      <w:bookmarkEnd w:id="110"/>
      <w:bookmarkEnd w:id="111"/>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bookmarkStart w:id="112" w:name="_Toc28053"/>
      <w:r>
        <w:rPr>
          <w:rFonts w:hint="eastAsia" w:ascii="仿宋_GB2312" w:hAnsi="仿宋_GB2312" w:cs="仿宋_GB2312"/>
          <w:bCs/>
          <w:szCs w:val="32"/>
        </w:rPr>
        <w:t>加强应急队伍的培训、演练和管理。加快建立健全以国家综合性消防救援队伍、森林消防救援队伍为主力、专业应急力量为协同、社会应急力量为辅助、基层应急队伍为补充、应急专家队伍为支撑的应急队伍体系。</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textAlignment w:val="auto"/>
        <w:rPr>
          <w:rFonts w:ascii="仿宋_GB2312" w:hAnsi="仿宋_GB2312" w:eastAsia="仿宋_GB2312" w:cs="仿宋_GB2312"/>
        </w:rPr>
      </w:pPr>
      <w:bookmarkStart w:id="113" w:name="_Toc6919"/>
      <w:bookmarkStart w:id="114" w:name="_Toc1261"/>
      <w:bookmarkStart w:id="115" w:name="_Toc13449"/>
      <w:bookmarkStart w:id="116" w:name="_Toc19001"/>
      <w:bookmarkStart w:id="117" w:name="_Toc15299"/>
      <w:bookmarkStart w:id="118" w:name="_Toc11409"/>
      <w:bookmarkStart w:id="119" w:name="_Toc22153"/>
      <w:bookmarkStart w:id="120" w:name="_Toc26638"/>
      <w:bookmarkStart w:id="121" w:name="_Toc24126"/>
      <w:bookmarkStart w:id="122" w:name="_Toc20487"/>
      <w:bookmarkStart w:id="123" w:name="_Toc21081"/>
      <w:r>
        <w:rPr>
          <w:rFonts w:hint="eastAsia" w:ascii="仿宋_GB2312" w:hAnsi="仿宋_GB2312" w:eastAsia="仿宋_GB2312" w:cs="仿宋_GB2312"/>
        </w:rPr>
        <w:t>6.2.1 综合性消防救援队伍</w:t>
      </w:r>
      <w:bookmarkEnd w:id="113"/>
      <w:bookmarkEnd w:id="114"/>
      <w:bookmarkEnd w:id="115"/>
      <w:bookmarkEnd w:id="116"/>
      <w:bookmarkEnd w:id="117"/>
      <w:bookmarkEnd w:id="118"/>
      <w:bookmarkEnd w:id="119"/>
      <w:bookmarkEnd w:id="120"/>
      <w:bookmarkEnd w:id="121"/>
      <w:bookmarkEnd w:id="122"/>
      <w:bookmarkEnd w:id="123"/>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综合性消防救援队伍和森林消防救援队伍是应急处置与救援的主力军，承担综合性消防救援工作，指导和协调专业应急救援队伍、基层和志愿者应急救援队伍执行应急救援工作，同时也是新城区应对处置突发事件的国家队和主力军，承担着防范化解重大安全风险、应对处置各类灾害事故的重要职责。突发事件发生后，区政府根据事故特点申请调动。</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textAlignment w:val="auto"/>
        <w:rPr>
          <w:rFonts w:ascii="仿宋_GB2312" w:hAnsi="仿宋_GB2312" w:eastAsia="仿宋_GB2312" w:cs="仿宋_GB2312"/>
        </w:rPr>
      </w:pPr>
      <w:bookmarkStart w:id="124" w:name="_Toc3360"/>
      <w:bookmarkStart w:id="125" w:name="_Toc6100"/>
      <w:bookmarkStart w:id="126" w:name="_Toc25470"/>
      <w:bookmarkStart w:id="127" w:name="_Toc4502"/>
      <w:bookmarkStart w:id="128" w:name="_Toc13756"/>
      <w:bookmarkStart w:id="129" w:name="_Toc27944"/>
      <w:bookmarkStart w:id="130" w:name="_Toc6688"/>
      <w:bookmarkStart w:id="131" w:name="_Toc8331"/>
      <w:bookmarkStart w:id="132" w:name="_Toc28705"/>
      <w:bookmarkStart w:id="133" w:name="_Toc12555"/>
      <w:bookmarkStart w:id="134" w:name="_Toc27284"/>
      <w:r>
        <w:rPr>
          <w:rFonts w:hint="eastAsia" w:ascii="仿宋_GB2312" w:hAnsi="仿宋_GB2312" w:eastAsia="仿宋_GB2312" w:cs="仿宋_GB2312"/>
        </w:rPr>
        <w:t>6.2.2 专业应急救援队伍</w:t>
      </w:r>
      <w:bookmarkEnd w:id="112"/>
      <w:bookmarkEnd w:id="124"/>
      <w:bookmarkEnd w:id="125"/>
      <w:bookmarkEnd w:id="126"/>
      <w:bookmarkEnd w:id="127"/>
      <w:bookmarkEnd w:id="128"/>
      <w:bookmarkEnd w:id="129"/>
      <w:bookmarkEnd w:id="130"/>
      <w:bookmarkEnd w:id="131"/>
      <w:bookmarkEnd w:id="132"/>
      <w:bookmarkEnd w:id="133"/>
      <w:bookmarkEnd w:id="134"/>
    </w:p>
    <w:p>
      <w:pPr>
        <w:pageBreakBefore w:val="0"/>
        <w:widowControl w:val="0"/>
        <w:kinsoku/>
        <w:wordWrap/>
        <w:overflowPunct/>
        <w:topLinePunct w:val="0"/>
        <w:autoSpaceDE/>
        <w:autoSpaceDN/>
        <w:bidi w:val="0"/>
        <w:adjustRightInd w:val="0"/>
        <w:snapToGrid w:val="0"/>
        <w:spacing w:line="360" w:lineRule="auto"/>
        <w:ind w:firstLine="640"/>
        <w:textAlignment w:val="auto"/>
      </w:pPr>
      <w:r>
        <w:rPr>
          <w:rFonts w:hint="eastAsia"/>
        </w:rPr>
        <w:t>专业应急救援队伍是应急处置与救援的骨干力量。结合新城区应急救援力量建设，依托现有安全生产、防灾减灾应急救援队伍和政府专职消防队伍，区政府和各专项指挥部可根据实际需要，建设和管理本行业、本领域的专业应急救援队伍、专家咨询队伍，并应注重人员专业素质的提高及装备建设的加强。</w:t>
      </w:r>
    </w:p>
    <w:p>
      <w:pPr>
        <w:pageBreakBefore w:val="0"/>
        <w:widowControl w:val="0"/>
        <w:kinsoku/>
        <w:wordWrap/>
        <w:overflowPunct/>
        <w:topLinePunct w:val="0"/>
        <w:autoSpaceDE/>
        <w:autoSpaceDN/>
        <w:bidi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发生后，负责或参与应急处置工作的专项指挥部、相关部门、有关单位根据突发事件的性质和特点，调用新城区相关专业应急救援队伍。专业应急救援队伍到达事发现场后，接受现场指挥部的统一指挥调度。</w:t>
      </w:r>
    </w:p>
    <w:p>
      <w:pPr>
        <w:pStyle w:val="5"/>
        <w:pageBreakBefore w:val="0"/>
        <w:widowControl w:val="0"/>
        <w:kinsoku/>
        <w:wordWrap/>
        <w:overflowPunct/>
        <w:topLinePunct w:val="0"/>
        <w:autoSpaceDE/>
        <w:autoSpaceDN/>
        <w:bidi w:val="0"/>
        <w:spacing w:line="360" w:lineRule="auto"/>
        <w:ind w:firstLine="640"/>
        <w:textAlignment w:val="auto"/>
        <w:rPr>
          <w:rFonts w:asciiTheme="minorHAnsi" w:hAnsiTheme="minorHAnsi"/>
          <w:sz w:val="32"/>
        </w:rPr>
      </w:pPr>
      <w:r>
        <w:rPr>
          <w:rFonts w:hint="eastAsia" w:asciiTheme="minorHAnsi" w:hAnsiTheme="minorHAnsi"/>
          <w:sz w:val="32"/>
        </w:rPr>
        <w:t>区政府组织协调或依托市政府将人民解放军、武警部队、民兵应急分队纳入新城区专业应急力量体系，建立健全协调联动机制，实现应急指挥系统的互联互通。</w:t>
      </w:r>
    </w:p>
    <w:p>
      <w:pPr>
        <w:pStyle w:val="6"/>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_GB2312" w:hAnsi="仿宋_GB2312" w:eastAsia="仿宋_GB2312" w:cs="仿宋_GB2312"/>
          <w:sz w:val="32"/>
          <w:szCs w:val="32"/>
        </w:rPr>
      </w:pPr>
      <w:bookmarkStart w:id="135" w:name="_Toc1495"/>
      <w:bookmarkStart w:id="136" w:name="_Toc18505"/>
      <w:bookmarkStart w:id="137" w:name="_Toc15647"/>
      <w:bookmarkStart w:id="138" w:name="_Toc9677"/>
      <w:bookmarkStart w:id="139" w:name="_Toc2613"/>
      <w:bookmarkStart w:id="140" w:name="_Toc26311"/>
      <w:bookmarkStart w:id="141" w:name="_Toc10393"/>
      <w:bookmarkStart w:id="142" w:name="_Toc6791"/>
      <w:r>
        <w:rPr>
          <w:rFonts w:hint="eastAsia" w:ascii="仿宋_GB2312" w:hAnsi="仿宋_GB2312" w:eastAsia="仿宋_GB2312" w:cs="仿宋_GB2312"/>
          <w:sz w:val="32"/>
          <w:szCs w:val="32"/>
        </w:rPr>
        <w:t>6.2.3 基层和志愿者应急救援队伍</w:t>
      </w:r>
      <w:bookmarkEnd w:id="135"/>
      <w:bookmarkEnd w:id="136"/>
      <w:bookmarkEnd w:id="137"/>
      <w:bookmarkEnd w:id="138"/>
      <w:bookmarkEnd w:id="139"/>
      <w:bookmarkEnd w:id="140"/>
      <w:bookmarkEnd w:id="141"/>
      <w:bookmarkEnd w:id="142"/>
    </w:p>
    <w:p>
      <w:pPr>
        <w:pStyle w:val="5"/>
        <w:pageBreakBefore w:val="0"/>
        <w:widowControl w:val="0"/>
        <w:kinsoku/>
        <w:wordWrap/>
        <w:overflowPunct/>
        <w:topLinePunct w:val="0"/>
        <w:autoSpaceDE/>
        <w:autoSpaceDN/>
        <w:bidi w:val="0"/>
        <w:spacing w:line="360" w:lineRule="auto"/>
        <w:ind w:firstLine="640"/>
        <w:textAlignment w:val="auto"/>
        <w:rPr>
          <w:rFonts w:asciiTheme="minorHAnsi" w:hAnsiTheme="minorHAnsi"/>
          <w:sz w:val="32"/>
        </w:rPr>
      </w:pPr>
      <w:r>
        <w:rPr>
          <w:rFonts w:hint="eastAsia" w:asciiTheme="minorHAnsi" w:hAnsiTheme="minorHAnsi"/>
          <w:sz w:val="32"/>
        </w:rPr>
        <w:t>基层应急救援队伍是第一时间先期处置的重要力量，是综合性消防救援队伍和专业应急救援队伍的有力补充。鼓励基层政府、机关团体、企事业单位应急救援队伍和志愿者应急救援队伍建设，加强基层的应急能力发展。</w:t>
      </w:r>
    </w:p>
    <w:p>
      <w:pPr>
        <w:pStyle w:val="5"/>
        <w:pageBreakBefore w:val="0"/>
        <w:widowControl w:val="0"/>
        <w:kinsoku/>
        <w:wordWrap/>
        <w:overflowPunct/>
        <w:topLinePunct w:val="0"/>
        <w:autoSpaceDE/>
        <w:autoSpaceDN/>
        <w:bidi w:val="0"/>
        <w:spacing w:line="360" w:lineRule="auto"/>
        <w:ind w:firstLine="640"/>
        <w:jc w:val="both"/>
        <w:textAlignment w:val="auto"/>
        <w:rPr>
          <w:rFonts w:asciiTheme="minorHAnsi" w:hAnsiTheme="minorHAnsi"/>
          <w:sz w:val="32"/>
        </w:rPr>
      </w:pPr>
      <w:r>
        <w:rPr>
          <w:rFonts w:hint="eastAsia" w:asciiTheme="minorHAnsi" w:hAnsiTheme="minorHAnsi"/>
          <w:sz w:val="32"/>
        </w:rPr>
        <w:t>区政府统一领导基层和志愿者应急队伍的规划建设，统筹协调基层和志愿者救援队伍的发展建设工作，协调相关部门、</w:t>
      </w:r>
      <w:r>
        <w:rPr>
          <w:rFonts w:hint="eastAsia" w:asciiTheme="minorHAnsi" w:hAnsiTheme="minorHAnsi"/>
          <w:sz w:val="32"/>
          <w:lang w:eastAsia="zh-CN"/>
        </w:rPr>
        <w:t>镇（街道）、</w:t>
      </w:r>
      <w:r>
        <w:rPr>
          <w:rFonts w:hint="eastAsia" w:asciiTheme="minorHAnsi" w:hAnsiTheme="minorHAnsi"/>
          <w:sz w:val="32"/>
          <w:lang w:val="en-US" w:eastAsia="zh-CN"/>
        </w:rPr>
        <w:t>区域服务中心</w:t>
      </w:r>
      <w:r>
        <w:rPr>
          <w:rFonts w:hint="eastAsia" w:asciiTheme="minorHAnsi" w:hAnsiTheme="minorHAnsi"/>
          <w:sz w:val="32"/>
        </w:rPr>
        <w:t>和有关单位积极开展基层和志愿者应急救援队伍的组织、技术装备、培训与演练等工作。</w:t>
      </w:r>
    </w:p>
    <w:p>
      <w:pPr>
        <w:pStyle w:val="5"/>
        <w:pageBreakBefore w:val="0"/>
        <w:widowControl w:val="0"/>
        <w:kinsoku/>
        <w:wordWrap/>
        <w:overflowPunct/>
        <w:topLinePunct w:val="0"/>
        <w:autoSpaceDE/>
        <w:autoSpaceDN/>
        <w:bidi w:val="0"/>
        <w:spacing w:line="360" w:lineRule="auto"/>
        <w:ind w:firstLine="640"/>
        <w:jc w:val="both"/>
        <w:textAlignment w:val="auto"/>
        <w:rPr>
          <w:rFonts w:asciiTheme="minorHAnsi" w:hAnsiTheme="minorHAnsi"/>
          <w:sz w:val="32"/>
        </w:rPr>
      </w:pPr>
      <w:r>
        <w:rPr>
          <w:rFonts w:hint="eastAsia" w:asciiTheme="minorHAnsi" w:hAnsiTheme="minorHAnsi"/>
          <w:sz w:val="32"/>
        </w:rPr>
        <w:t>区政府牵头，依托</w:t>
      </w:r>
      <w:r>
        <w:rPr>
          <w:rFonts w:hint="eastAsia" w:asciiTheme="minorHAnsi" w:hAnsiTheme="minorHAnsi"/>
          <w:sz w:val="32"/>
          <w:lang w:eastAsia="zh-CN"/>
        </w:rPr>
        <w:t>镇（街道）、区域服务中心</w:t>
      </w:r>
      <w:r>
        <w:rPr>
          <w:rFonts w:hint="eastAsia" w:asciiTheme="minorHAnsi" w:hAnsiTheme="minorHAnsi"/>
          <w:sz w:val="32"/>
        </w:rPr>
        <w:t>辖区内安全生产专职安全员、灾害信息员、群测群防员、基层网格员等具有安全管理相关职责的人员、以及社区志愿者、医务人员等具有相关知识、经验和资质的人员，组建基层应急队伍，在</w:t>
      </w:r>
      <w:r>
        <w:rPr>
          <w:rFonts w:hint="eastAsia" w:asciiTheme="minorHAnsi" w:hAnsiTheme="minorHAnsi"/>
          <w:sz w:val="32"/>
          <w:lang w:eastAsia="zh-CN"/>
        </w:rPr>
        <w:t>镇（街道）、区域服务中心</w:t>
      </w:r>
      <w:r>
        <w:rPr>
          <w:rFonts w:hint="eastAsia" w:asciiTheme="minorHAnsi" w:hAnsiTheme="minorHAnsi"/>
          <w:sz w:val="32"/>
        </w:rPr>
        <w:t>应急机构的领导下，充分发挥到场快、情况熟的优势，开展信息报告、先期处置等工作。</w:t>
      </w:r>
    </w:p>
    <w:p>
      <w:pPr>
        <w:pStyle w:val="6"/>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_GB2312" w:hAnsi="仿宋_GB2312" w:eastAsia="仿宋_GB2312" w:cs="仿宋_GB2312"/>
          <w:bCs/>
          <w:szCs w:val="32"/>
        </w:rPr>
      </w:pPr>
      <w:bookmarkStart w:id="143" w:name="_Toc15600"/>
      <w:bookmarkStart w:id="144" w:name="_Toc23617"/>
      <w:bookmarkStart w:id="145" w:name="_Toc17473"/>
      <w:bookmarkStart w:id="146" w:name="_Toc3948"/>
      <w:bookmarkStart w:id="147" w:name="_Toc30276"/>
      <w:bookmarkStart w:id="148" w:name="_Toc10662"/>
      <w:bookmarkStart w:id="149" w:name="_Toc13107"/>
      <w:bookmarkStart w:id="150" w:name="_Toc5028"/>
      <w:r>
        <w:rPr>
          <w:rFonts w:hint="eastAsia" w:ascii="仿宋_GB2312" w:hAnsi="仿宋_GB2312" w:eastAsia="仿宋_GB2312" w:cs="仿宋_GB2312"/>
          <w:bCs/>
          <w:szCs w:val="32"/>
        </w:rPr>
        <w:t>6.2.4 社会应急队伍</w:t>
      </w:r>
      <w:bookmarkEnd w:id="143"/>
      <w:bookmarkEnd w:id="144"/>
      <w:bookmarkEnd w:id="145"/>
      <w:bookmarkEnd w:id="146"/>
      <w:bookmarkEnd w:id="147"/>
      <w:bookmarkEnd w:id="148"/>
      <w:bookmarkEnd w:id="149"/>
      <w:bookmarkEnd w:id="150"/>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社会应急队伍是处置突发事件的补充力量。由区政府牵头，各相关部门和</w:t>
      </w:r>
      <w:r>
        <w:rPr>
          <w:rFonts w:hint="eastAsia"/>
          <w:lang w:eastAsia="zh-CN"/>
        </w:rPr>
        <w:t>镇（街道）、区域服务中心</w:t>
      </w:r>
      <w:r>
        <w:rPr>
          <w:rFonts w:hint="eastAsia"/>
        </w:rPr>
        <w:t>配合，充分发挥红十字会、共青团、民间应急救援组织、应急志愿者等作用，鼓励企事业单位、社会组织及公民个人等有序参与公共安全与突发事件应对知识的宣传、教育和普及工作，以及突发事件的抢险救援、卫生防疫、群众安置、设施抢修和心理安抚等工作。</w:t>
      </w:r>
    </w:p>
    <w:p>
      <w:pPr>
        <w:pageBreakBefore w:val="0"/>
        <w:widowControl w:val="0"/>
        <w:kinsoku/>
        <w:wordWrap/>
        <w:overflowPunct/>
        <w:topLinePunct w:val="0"/>
        <w:autoSpaceDE/>
        <w:autoSpaceDN/>
        <w:bidi w:val="0"/>
        <w:adjustRightInd w:val="0"/>
        <w:snapToGrid w:val="0"/>
        <w:spacing w:line="360" w:lineRule="auto"/>
        <w:ind w:firstLine="640"/>
        <w:textAlignment w:val="auto"/>
      </w:pPr>
      <w:r>
        <w:rPr>
          <w:rFonts w:hint="eastAsia"/>
        </w:rPr>
        <w:t>由各专项指挥部牵头，指导志愿者队伍的培训、应急预案演练、救援等方面的工作，由区政府和相关部门在技术装备、人身保险等方面给予支持和帮助。</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51" w:name="_Toc29636"/>
      <w:r>
        <w:rPr>
          <w:rFonts w:hint="eastAsia"/>
        </w:rPr>
        <w:t>6.3 物资装备保障</w:t>
      </w:r>
      <w:bookmarkEnd w:id="151"/>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rPr>
        <w:t>各专项指挥部负责本领域应急救援物资储备工作</w:t>
      </w:r>
      <w:r>
        <w:rPr>
          <w:rFonts w:hint="eastAsia" w:ascii="仿宋_GB2312" w:hAnsi="仿宋_GB2312" w:cs="仿宋_GB2312"/>
          <w:bCs/>
          <w:szCs w:val="32"/>
        </w:rPr>
        <w:t>。</w:t>
      </w:r>
      <w:r>
        <w:rPr>
          <w:rFonts w:hint="eastAsia"/>
        </w:rPr>
        <w:t>各专项指挥部</w:t>
      </w:r>
      <w:r>
        <w:rPr>
          <w:rFonts w:hint="eastAsia" w:ascii="仿宋_GB2312" w:hAnsi="仿宋_GB2312" w:cs="仿宋_GB2312"/>
          <w:bCs/>
          <w:szCs w:val="32"/>
        </w:rPr>
        <w:t>应加强物资管理，建立相应的维护、保养和调用等制度，防止储备物资被盗用、挪用、流失和失效，对各类物资及时予以补充和更新。</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发展和改革委牵头，市场监督管理局等有关部门按照职能分工，负责生活必需品应急供应协调工作，确保生活必需品的及时供应，建立与其他地区的生活必需品调剂供应渠道，以备本地区生活必需品短缺时可迅速调入。</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卫生健康委负责组织、协调药品、医疗器械的储备和供应。</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各专项指挥部、</w:t>
      </w:r>
      <w:r>
        <w:rPr>
          <w:rFonts w:hint="eastAsia" w:ascii="仿宋_GB2312" w:hAnsi="仿宋_GB2312" w:cs="仿宋_GB2312"/>
          <w:bCs/>
          <w:szCs w:val="32"/>
          <w:lang w:eastAsia="zh-CN"/>
        </w:rPr>
        <w:t>镇（街道）、</w:t>
      </w:r>
      <w:r>
        <w:rPr>
          <w:rFonts w:hint="eastAsia"/>
          <w:lang w:eastAsia="zh-CN"/>
        </w:rPr>
        <w:t>区域服务中心</w:t>
      </w:r>
      <w:r>
        <w:rPr>
          <w:rFonts w:hint="eastAsia" w:ascii="仿宋_GB2312" w:hAnsi="仿宋_GB2312" w:cs="仿宋_GB2312"/>
          <w:bCs/>
          <w:szCs w:val="32"/>
        </w:rPr>
        <w:t>和相关部门根据不同灾害、事故种类，提出物资使用需求，以保障各种相关灾害、事故的抢险和救援。</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鼓励和引导社区、企事业单位和家庭储备基本的应急自救物资和生活必需品。</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52" w:name="_Toc20858"/>
      <w:r>
        <w:rPr>
          <w:rFonts w:hint="eastAsia"/>
        </w:rPr>
        <w:t>6.4 交通运输保障</w:t>
      </w:r>
      <w:bookmarkEnd w:id="152"/>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交通运输、铁路、公安、邮政等有关部门要组织有关部门按照职能分工，健全公路、铁路、轨道交通等运输能力应急调度机制，维护交通干线、重要路线的畅通和运输安全，保证处置突发事件所需应急装备物资、应急救援队伍、受到突发事件危害人员等优先安排、优先调度、优先通行、安全送达。必要时可紧急动员和征用社会型物流企业的交通设施装备。</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ascii="仿宋_GB2312" w:hAnsi="仿宋_GB2312" w:cs="仿宋_GB2312"/>
          <w:bCs/>
          <w:szCs w:val="32"/>
        </w:rPr>
        <w:t>交管大队根据应对突发事件的需要和可能，组织实施交通管制，开设应急救援“绿色通道”，保证应急人员、应急设备、应急物资优先通行，确保运输道路安全畅通。</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53" w:name="_Toc22667"/>
      <w:bookmarkStart w:id="154" w:name="_Toc89032924"/>
      <w:r>
        <w:rPr>
          <w:rFonts w:hint="eastAsia"/>
        </w:rPr>
        <w:t>6.5 医疗卫生保障</w:t>
      </w:r>
      <w:bookmarkEnd w:id="153"/>
      <w:bookmarkEnd w:id="154"/>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发生突发事件后，区卫健委应快速组织新城区医疗救护、疾病预防控制及卫生监督队伍进入现场，对伤病员进行紧急救治；采取有效措施防止和控制传染病的爆发和流行，并会同市场监督管理局及时检查、监测灾区的食品、饮用水源的安全情况。区卫健委会同市场监督管理局迅速组织、协调向灾区提供所需药品、医疗器械。</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区卫健委负责公共卫生信息系统建设。准确掌握新城区急救资源状况（院前急救、综合医院急诊科、急救队伍、卫生院、社区门诊等），建立动态数据库，明确医疗救治和疾病预防控制机构的资源分布、救治能力和专长等，全面提高公共卫生管理和紧急处置能力。</w:t>
      </w:r>
    </w:p>
    <w:p>
      <w:pPr>
        <w:pStyle w:val="3"/>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55" w:name="_Toc31723"/>
      <w:bookmarkStart w:id="156" w:name="_Toc4062"/>
      <w:r>
        <w:rPr>
          <w:rFonts w:hint="eastAsia"/>
        </w:rPr>
        <w:t>6.6 治安保障</w:t>
      </w:r>
      <w:bookmarkEnd w:id="155"/>
      <w:bookmarkEnd w:id="156"/>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突发事件发生后，由区公安分局、交管大队负责治安保障、交通管制，适时在突发事件处置现场周围设立警戒区和警戒哨，做好现场控制、交通管制、疏散救助群众、维护公共秩序等工作。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公安部门负责重要场所、目标和救灾设施的警卫；</w:t>
      </w:r>
      <w:r>
        <w:rPr>
          <w:rFonts w:hint="eastAsia" w:ascii="仿宋_GB2312" w:hAnsi="仿宋_GB2312" w:cs="仿宋_GB2312"/>
          <w:bCs/>
          <w:szCs w:val="32"/>
          <w:lang w:eastAsia="zh-CN"/>
        </w:rPr>
        <w:t>镇（街道）、</w:t>
      </w:r>
      <w:r>
        <w:rPr>
          <w:rFonts w:hint="eastAsia"/>
          <w:lang w:eastAsia="zh-CN"/>
        </w:rPr>
        <w:t>区域服务中心</w:t>
      </w:r>
      <w:r>
        <w:rPr>
          <w:rFonts w:hint="eastAsia" w:ascii="仿宋_GB2312" w:hAnsi="仿宋_GB2312" w:cs="仿宋_GB2312"/>
          <w:bCs/>
          <w:szCs w:val="32"/>
        </w:rPr>
        <w:t>和社区要积极发动和组织社会力量开展自救互救，群防群治，全力维护突发事件地区的社会稳定。</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发生后，如现场有起火、存有易燃易爆危险品、漏电、漏水、漏气等情况发生，现场先期处置人员要立即通知业务主管部门实施灭火、排爆、断电、断水、断气等措施，清除现场危险品，避免次生、衍生危害的出现。</w:t>
      </w:r>
    </w:p>
    <w:p>
      <w:pPr>
        <w:pStyle w:val="3"/>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57" w:name="_Toc9028"/>
      <w:bookmarkStart w:id="158" w:name="_Toc23685"/>
      <w:r>
        <w:rPr>
          <w:rFonts w:hint="eastAsia"/>
        </w:rPr>
        <w:t>6.7 应急避难场所保障</w:t>
      </w:r>
      <w:bookmarkEnd w:id="157"/>
      <w:bookmarkEnd w:id="158"/>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区发展和改革委员会、住房和城乡建设局等相关部门配合，统筹管理应急避难场所总体规划，建立应急避难场所运行保障机制。</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突发事件发生后，区政府根据突发事件危险程度及事态发展情况启用应急避难场所，</w:t>
      </w:r>
      <w:r>
        <w:rPr>
          <w:rFonts w:hint="eastAsia" w:ascii="仿宋_GB2312" w:hAnsi="仿宋_GB2312" w:cs="仿宋_GB2312"/>
          <w:bCs/>
          <w:szCs w:val="32"/>
          <w:lang w:eastAsia="zh-CN"/>
        </w:rPr>
        <w:t>各镇（街道）、区域服务中心</w:t>
      </w:r>
      <w:r>
        <w:rPr>
          <w:rFonts w:hint="eastAsia" w:ascii="仿宋_GB2312" w:hAnsi="仿宋_GB2312" w:cs="仿宋_GB2312"/>
          <w:bCs/>
          <w:szCs w:val="32"/>
        </w:rPr>
        <w:t>配合组织居民进入应急避难场所避难。相关部门应根据各自职责，提供必要的保障，确保避难人员的正常生活。</w:t>
      </w:r>
    </w:p>
    <w:p>
      <w:pPr>
        <w:pStyle w:val="3"/>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59" w:name="_Toc14885"/>
      <w:bookmarkStart w:id="160" w:name="_Toc25189"/>
      <w:bookmarkStart w:id="161" w:name="_Toc15676"/>
      <w:r>
        <w:rPr>
          <w:rFonts w:hint="eastAsia"/>
        </w:rPr>
        <w:t xml:space="preserve">6.8 </w:t>
      </w:r>
      <w:bookmarkEnd w:id="159"/>
      <w:bookmarkEnd w:id="160"/>
      <w:r>
        <w:rPr>
          <w:rFonts w:hint="eastAsia"/>
        </w:rPr>
        <w:t>资金保障</w:t>
      </w:r>
      <w:bookmarkEnd w:id="161"/>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lang w:val="en-US" w:eastAsia="zh-CN"/>
        </w:rPr>
        <w:t>区</w:t>
      </w:r>
      <w:r>
        <w:rPr>
          <w:rFonts w:hint="eastAsia" w:ascii="仿宋_GB2312" w:hAnsi="仿宋_GB2312" w:cs="仿宋_GB2312"/>
          <w:bCs/>
          <w:szCs w:val="32"/>
        </w:rPr>
        <w:t>财政局每年按照财政支出额的适当比例安排政府预备费，作为公共财政应急储备资金。财政局要在一般支出预算中设置突发事件防范和应对专项准备资金，并根据城市公共安全管理的需求，逐步提高资金提取比例。</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财政局负责应对突发事件专项准备资金和公共财政应急储备资金的管理。突发事件发生后，根据实际情况调整部门预算内部结构，削减部门支出预算，集中财力应对突发事件；必要时动用公共财政应急储备资金。</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财政局和审计局要对突发事件财政应急保障资金的使用和效果进行监管和评估。</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鼓励公民、法人和其他组织为应对突发事件提供物资、装备、资金技术支持和捐赠。</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发挥保险保障功能，健全风险管理体系，鼓励生产经营单位投保安全生产责任险。鼓励生产经营单位和公民购买财产和人身意外伤害商业保险。鼓励从事高风险活动的企业购买财产保险，并为其员工购买人身意外伤害保险。加快推进巨灾保险制度，推行安全生产、环境污染和食品安全责任保险等。</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有关部门安排应急救援人员参与可能发生人身危险的抢险救援行动前，应当为其投保相关保险产品。</w:t>
      </w:r>
    </w:p>
    <w:p>
      <w:pPr>
        <w:pStyle w:val="3"/>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62" w:name="_Toc11127"/>
      <w:r>
        <w:rPr>
          <w:rFonts w:hint="eastAsia"/>
        </w:rPr>
        <w:t>6.9 科技保障</w:t>
      </w:r>
      <w:bookmarkEnd w:id="162"/>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各专项指挥部、相关部门和</w:t>
      </w:r>
      <w:r>
        <w:rPr>
          <w:rFonts w:hint="eastAsia" w:ascii="仿宋_GB2312" w:hAnsi="仿宋_GB2312" w:cs="仿宋_GB2312"/>
          <w:bCs/>
          <w:szCs w:val="32"/>
          <w:lang w:eastAsia="zh-CN"/>
        </w:rPr>
        <w:t>各镇（街道）、区域服务中心</w:t>
      </w:r>
      <w:r>
        <w:rPr>
          <w:rFonts w:hint="eastAsia" w:ascii="仿宋_GB2312" w:hAnsi="仿宋_GB2312" w:cs="仿宋_GB2312"/>
          <w:bCs/>
          <w:szCs w:val="32"/>
        </w:rPr>
        <w:t>逐步建立和完善相关政策措施，激励、扶持具备相应条件的教学科研机构培养应急管理人才，加强应急管理学科建设；建立和完善应急管理信息资源库，建立各类风险与隐患监控数据库、专业数据库、应急预案库、应急专家库、辅助决策知识库以及应急管理信息资源目录体系，及时维护更新，实现对突发事件应急指挥的辅助决策与支持。</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推进应急管理现代化。区政府负责建立应急指挥技术支撑体系，充分利用物联网、大数据、云计算、人工智能等，推进立体化监测预警网络、“智慧城市”等建设，提高监测预警、辅助指挥决策、救援实战和社会动员能力。</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各专项指挥部、相关部门要充分利用现有办公业务资源和专业网络系统，建立健全应急指挥场所、基础支撑系统和综合应用系统，规范技术标准，配置移动指挥系统。</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建立应急指挥平台，满足突发事件监测监控、预测预警、应急值守、信息报告汇总与发布、视频会商、综合研判、辅助决策、指挥协调、预案管理、资源调用和总结评估等功能需求。</w:t>
      </w:r>
    </w:p>
    <w:p>
      <w:pPr>
        <w:pStyle w:val="2"/>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0"/>
        <w:rPr>
          <w:rFonts w:hint="eastAsia"/>
        </w:rPr>
      </w:pPr>
      <w:bookmarkStart w:id="163" w:name="_Toc10197"/>
      <w:r>
        <w:rPr>
          <w:rFonts w:hint="eastAsia"/>
        </w:rPr>
        <w:t>7 预案管理</w:t>
      </w:r>
      <w:bookmarkEnd w:id="163"/>
    </w:p>
    <w:p>
      <w:pPr>
        <w:pStyle w:val="3"/>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64" w:name="_Toc13564"/>
      <w:r>
        <w:rPr>
          <w:rFonts w:hint="eastAsia"/>
        </w:rPr>
        <w:t>7.1 预案制定与备案</w:t>
      </w:r>
      <w:bookmarkEnd w:id="164"/>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区政府负责本地区突发事件应急预案体系建设，对各类应急预案进行综合协调，增强衔接性和实效性。区政府负责制订新城区突发事件总体应急预案</w:t>
      </w:r>
      <w:r>
        <w:rPr>
          <w:rFonts w:hint="eastAsia"/>
          <w:lang w:eastAsia="zh-CN"/>
        </w:rPr>
        <w:t>。</w:t>
      </w:r>
      <w:r>
        <w:rPr>
          <w:rFonts w:hint="eastAsia"/>
        </w:rPr>
        <w:t>各专项牵头部门负责制订各专项应急预案。</w:t>
      </w:r>
      <w:r>
        <w:rPr>
          <w:rFonts w:hint="eastAsia"/>
          <w:lang w:eastAsia="zh-CN"/>
        </w:rPr>
        <w:t>各镇（街道）、区域服务中心</w:t>
      </w:r>
      <w:r>
        <w:rPr>
          <w:rFonts w:hint="eastAsia"/>
        </w:rPr>
        <w:t>根据上级应急预案和本地区实际情况，制定相应的总体预案和专项预案。</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各专项牵头部门、有关单位根据涉及本部门（单位）的应急预案要求，结合实际工作需要，统筹做好相关应急工作手册、事件行动方案等应急预案支撑性文件编制工作。</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应急预案应当在风险评估和应急资源调查的基础上进行编制，以确保应急预案的针对性、实用性、可操作性。</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应急预案</w:t>
      </w:r>
      <w:r>
        <w:rPr>
          <w:rFonts w:hint="eastAsia"/>
          <w:lang w:val="en-US" w:eastAsia="zh-CN"/>
        </w:rPr>
        <w:t>实行</w:t>
      </w:r>
      <w:r>
        <w:rPr>
          <w:rFonts w:hint="eastAsia"/>
        </w:rPr>
        <w:t>动态管理，定期组织评估和修订。出现以下情况时需要组织临时评估和修订：突发事件应对过程和应急演练中发现预案存在问题；有关法律、法规、规章或上位预案相关规定发生变化；应急指挥机构及其职责发生重大调整；主要风险或重要应急资源发生重大变化等。</w:t>
      </w:r>
    </w:p>
    <w:p>
      <w:pPr>
        <w:pStyle w:val="3"/>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65" w:name="_Toc16495"/>
      <w:r>
        <w:rPr>
          <w:rFonts w:hint="eastAsia"/>
        </w:rPr>
        <w:t>7.2 宣传与培训</w:t>
      </w:r>
      <w:bookmarkEnd w:id="165"/>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textAlignment w:val="auto"/>
        <w:rPr>
          <w:rFonts w:eastAsia="仿宋_GB2312" w:asciiTheme="minorHAnsi"/>
          <w:szCs w:val="22"/>
        </w:rPr>
      </w:pPr>
      <w:bookmarkStart w:id="166" w:name="_Toc12665"/>
      <w:bookmarkStart w:id="167" w:name="_Toc22313"/>
      <w:bookmarkStart w:id="168" w:name="_Toc15869"/>
      <w:bookmarkStart w:id="169" w:name="_Toc14649"/>
      <w:bookmarkStart w:id="170" w:name="_Toc12797"/>
      <w:bookmarkStart w:id="171" w:name="_Toc8361"/>
      <w:bookmarkStart w:id="172" w:name="_Toc32441"/>
      <w:bookmarkStart w:id="173" w:name="_Toc6224"/>
      <w:bookmarkStart w:id="174" w:name="_Toc20806"/>
      <w:bookmarkStart w:id="175" w:name="_Toc2667"/>
      <w:bookmarkStart w:id="176" w:name="_Toc946"/>
      <w:r>
        <w:rPr>
          <w:rFonts w:hint="eastAsia" w:ascii="仿宋" w:hAnsi="仿宋" w:eastAsia="仿宋" w:cs="仿宋"/>
          <w:szCs w:val="22"/>
        </w:rPr>
        <w:t>7.2.1</w:t>
      </w:r>
      <w:r>
        <w:rPr>
          <w:rFonts w:hint="eastAsia" w:eastAsia="仿宋_GB2312" w:asciiTheme="minorHAnsi"/>
          <w:szCs w:val="22"/>
        </w:rPr>
        <w:t xml:space="preserve"> 宣传教育</w:t>
      </w:r>
      <w:bookmarkEnd w:id="166"/>
      <w:bookmarkEnd w:id="167"/>
      <w:bookmarkEnd w:id="168"/>
      <w:bookmarkEnd w:id="169"/>
      <w:bookmarkEnd w:id="170"/>
      <w:bookmarkEnd w:id="171"/>
      <w:bookmarkEnd w:id="172"/>
      <w:bookmarkEnd w:id="173"/>
      <w:bookmarkEnd w:id="174"/>
      <w:bookmarkEnd w:id="175"/>
      <w:bookmarkEnd w:id="176"/>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区政府组织各专项指挥部、有关部门</w:t>
      </w:r>
      <w:r>
        <w:rPr>
          <w:rFonts w:hint="eastAsia"/>
          <w:lang w:eastAsia="zh-CN"/>
        </w:rPr>
        <w:t>、镇（街道）、区域服务中心</w:t>
      </w:r>
      <w:r>
        <w:rPr>
          <w:rFonts w:hint="eastAsia"/>
        </w:rPr>
        <w:t>制定</w:t>
      </w:r>
      <w:r>
        <w:rPr>
          <w:rFonts w:hint="eastAsia"/>
          <w:lang w:val="en-US" w:eastAsia="zh-CN"/>
        </w:rPr>
        <w:t>突发事件</w:t>
      </w:r>
      <w:r>
        <w:rPr>
          <w:rFonts w:hint="eastAsia"/>
        </w:rPr>
        <w:t>应对宣传教育规划，加强公益宣传和社会动员，普及安全知识，培育安全文化。应急管理、新闻宣传、文化和旅游、广播电视等部门通过图书、报刊、音像制品和电子出版物、广播、电视、网络、手机等，广泛宣传应急法律法规和预防、避免、自救、互救、减灾等常识，增强公众的安全意识，提高全社会防灾减灾能力和自救互救能力。</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切实加强公共安全文化、应急文化、灾害预警文化的宣传和培训，推进应急知识和技能进学校、进机关、进企事业单位、进社区、进农村牧区、进家庭、进公共场所。鼓励建设和提供应急教育体验场馆、应急避难场所，各类应急教育体验场馆、科普场馆、文化馆等应积极开展应急宣传普及活动。</w:t>
      </w:r>
    </w:p>
    <w:p>
      <w:pPr>
        <w:pStyle w:val="6"/>
        <w:pageBreakBefore w:val="0"/>
        <w:widowControl w:val="0"/>
        <w:kinsoku/>
        <w:wordWrap/>
        <w:overflowPunct/>
        <w:topLinePunct w:val="0"/>
        <w:autoSpaceDE/>
        <w:autoSpaceDN/>
        <w:bidi w:val="0"/>
        <w:adjustRightInd w:val="0"/>
        <w:snapToGrid w:val="0"/>
        <w:spacing w:before="0" w:after="0" w:line="360" w:lineRule="auto"/>
        <w:ind w:firstLine="640" w:firstLineChars="200"/>
        <w:jc w:val="both"/>
        <w:textAlignment w:val="auto"/>
        <w:rPr>
          <w:rFonts w:hint="eastAsia" w:ascii="仿宋_GB2312" w:hAnsi="仿宋_GB2312" w:eastAsia="仿宋_GB2312" w:cs="仿宋_GB2312"/>
          <w:szCs w:val="22"/>
        </w:rPr>
      </w:pPr>
      <w:bookmarkStart w:id="177" w:name="_Toc28141"/>
      <w:bookmarkStart w:id="178" w:name="_Toc20371"/>
      <w:bookmarkStart w:id="179" w:name="_Toc14568"/>
      <w:bookmarkStart w:id="180" w:name="_Toc18837"/>
      <w:bookmarkStart w:id="181" w:name="_Toc17706"/>
      <w:bookmarkStart w:id="182" w:name="_Toc18725"/>
      <w:bookmarkStart w:id="183" w:name="_Toc16295"/>
      <w:bookmarkStart w:id="184" w:name="_Toc17834"/>
      <w:bookmarkStart w:id="185" w:name="_Toc30798"/>
      <w:bookmarkStart w:id="186" w:name="_Toc10548"/>
      <w:bookmarkStart w:id="187" w:name="_Toc32192"/>
      <w:r>
        <w:rPr>
          <w:rFonts w:hint="eastAsia" w:ascii="仿宋_GB2312" w:hAnsi="仿宋_GB2312" w:eastAsia="仿宋_GB2312" w:cs="仿宋_GB2312"/>
          <w:szCs w:val="22"/>
        </w:rPr>
        <w:t>7.2.2 培训</w:t>
      </w:r>
      <w:bookmarkEnd w:id="177"/>
      <w:bookmarkEnd w:id="178"/>
      <w:bookmarkEnd w:id="179"/>
      <w:bookmarkEnd w:id="180"/>
      <w:bookmarkEnd w:id="181"/>
      <w:bookmarkEnd w:id="182"/>
      <w:bookmarkEnd w:id="183"/>
      <w:bookmarkEnd w:id="184"/>
      <w:bookmarkEnd w:id="185"/>
      <w:bookmarkEnd w:id="186"/>
      <w:bookmarkEnd w:id="187"/>
    </w:p>
    <w:p>
      <w:pPr>
        <w:pStyle w:val="5"/>
        <w:pageBreakBefore w:val="0"/>
        <w:widowControl w:val="0"/>
        <w:kinsoku/>
        <w:wordWrap/>
        <w:overflowPunct/>
        <w:topLinePunct w:val="0"/>
        <w:autoSpaceDE/>
        <w:autoSpaceDN/>
        <w:bidi w:val="0"/>
        <w:adjustRightInd w:val="0"/>
        <w:snapToGrid w:val="0"/>
        <w:spacing w:line="360" w:lineRule="auto"/>
        <w:ind w:firstLine="640"/>
        <w:jc w:val="both"/>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区政府牵头建立健全应急管理培训制度。</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区教育局应指导各级各类学校、幼儿园把应急知识教育和技能培训纳入教学内容，对学生进行应急知识教育和技能培训，培养学生的安全意识和自救互救能力。同时，应当对学校、幼儿园和培训机构开展应急知识教育和技能培训进行指导和监督。</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pPr>
      <w:r>
        <w:rPr>
          <w:rFonts w:hint="eastAsia" w:ascii="仿宋_GB2312" w:hAnsi="仿宋_GB2312" w:eastAsia="仿宋_GB2312" w:cs="仿宋_GB2312"/>
        </w:rPr>
        <w:t>区政府负责组织各相关部门，面向新城区各级领导干部、应急管理干部、政府新闻发言人、基层干部，开展应对突发事件相关知识培训，将突发事</w:t>
      </w:r>
      <w:r>
        <w:rPr>
          <w:rFonts w:hint="eastAsia"/>
        </w:rPr>
        <w:t>件应对法律法规、预防、应急指挥、综合协调等作为重要内容，增强机关工作人员的安全意识、责任意识，提升应对突发事件的能力。</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各专项指挥部办公室、各相关部门要按照隶属关系和管理责任，加强对本系统、本领域专业应急救援队伍的培训，提高其专业救援能力和安全防护技能。</w:t>
      </w:r>
      <w:r>
        <w:rPr>
          <w:rFonts w:hint="eastAsia"/>
          <w:lang w:eastAsia="zh-CN"/>
        </w:rPr>
        <w:t>各镇（街道）、区域服务中心</w:t>
      </w:r>
      <w:r>
        <w:rPr>
          <w:rFonts w:hint="eastAsia"/>
        </w:rPr>
        <w:t>、社区、企事业单位和其</w:t>
      </w:r>
      <w:r>
        <w:rPr>
          <w:rFonts w:hint="eastAsia"/>
          <w:lang w:val="en-US" w:eastAsia="zh-CN"/>
        </w:rPr>
        <w:t>他</w:t>
      </w:r>
      <w:r>
        <w:rPr>
          <w:rFonts w:hint="eastAsia"/>
        </w:rPr>
        <w:t>组织根据地区应急管理工作要求，结合各自实际，加强自救、互救和逃生的知识和技能培训。</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新闻媒体应无偿开展突发事件预防与应急、自救与互救知识的公益宣传。企事业单位应当定期开展应急管理法律法规、安全管理制度、安全操作规程以及应急知识等方面的教育培训。</w:t>
      </w:r>
    </w:p>
    <w:p>
      <w:pPr>
        <w:pStyle w:val="3"/>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pPr>
      <w:bookmarkStart w:id="188" w:name="_Toc22369"/>
      <w:r>
        <w:rPr>
          <w:rFonts w:hint="eastAsia"/>
        </w:rPr>
        <w:t>7.3 应急演练</w:t>
      </w:r>
      <w:bookmarkEnd w:id="188"/>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各专项指挥部办公室建立相应应急演练制度，根据实际情况采取实战演练、桌面推演等方式，组织开展人员参与广泛、处置联动性强、形式多样、节约高效的应急演练。</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区政府及其有关部门根据应急预案组织综合应急演练和专项应急演练，必要时可以组织跨地区、跨行业的应急演练，提高快速反应和整体协同处置能力。专项应急预案、部门应急预案依据有关规定组织常态化应急演练。</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lang w:eastAsia="zh-CN"/>
        </w:rPr>
        <w:t>各镇（街道）、区域服务中心</w:t>
      </w:r>
      <w:r>
        <w:rPr>
          <w:rFonts w:hint="eastAsia"/>
        </w:rPr>
        <w:t>要组织开展必要的应急预案演练。居民委员会、企事业单位也要结合实际经常开展应急演练。</w:t>
      </w:r>
    </w:p>
    <w:p>
      <w:pPr>
        <w:pStyle w:val="2"/>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189" w:name="_Toc27391"/>
      <w:r>
        <w:rPr>
          <w:rFonts w:hint="eastAsia"/>
        </w:rPr>
        <w:t>8 附则</w:t>
      </w:r>
      <w:bookmarkEnd w:id="189"/>
    </w:p>
    <w:p>
      <w:pPr>
        <w:pStyle w:val="3"/>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rPr>
          <w:rFonts w:hint="eastAsia"/>
        </w:rPr>
      </w:pPr>
      <w:bookmarkStart w:id="190" w:name="_Toc21409"/>
      <w:bookmarkStart w:id="191" w:name="_Toc89032936"/>
      <w:bookmarkStart w:id="192" w:name="_Hlk81507884"/>
      <w:r>
        <w:rPr>
          <w:rFonts w:hint="eastAsia"/>
        </w:rPr>
        <w:t>8.1 定义和说明</w:t>
      </w:r>
      <w:bookmarkEnd w:id="190"/>
      <w:bookmarkEnd w:id="191"/>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相关部门：是指与应对突发事件的监测、预警、处置、善后、保障等各环节有关的各相关工作部门，即新城区各委、办、局。</w:t>
      </w:r>
    </w:p>
    <w:p>
      <w:pPr>
        <w:pStyle w:val="3"/>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rPr>
          <w:rFonts w:hint="eastAsia"/>
        </w:rPr>
      </w:pPr>
      <w:bookmarkStart w:id="193" w:name="_Toc30074"/>
      <w:bookmarkStart w:id="194" w:name="_Toc89032937"/>
      <w:r>
        <w:rPr>
          <w:rFonts w:hint="eastAsia"/>
        </w:rPr>
        <w:t>8.2 关联文件</w:t>
      </w:r>
      <w:bookmarkEnd w:id="193"/>
      <w:bookmarkEnd w:id="194"/>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 xml:space="preserve">专项预案：各专项应急指挥机构（牵头部门）负责组织编制本专项的应急预案以及细分的下级专项预案。 </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部门预案：区各相关部门和有关单位负责组织编制本部门在本预案及各类专项预案中所规定内容的部门预案。</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应急工作手册：预案涉及的相关部门和有关单位要编制相应工作手册，明确岗位职责、业务流程，并落实到具体责任单位和责任人。</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应急行动方案：专业应急主管部门要牵头编制应急行动方案，按照应急预案、工作手册或指挥机构要求，明确参与突发事件应对的救援队伍、专家队伍的工作安排，应对突发事件的行动方案要明确队伍编成、力量预置、指挥协同、行动预想、战勤保障、通信联络等具体内容，以及采取的具体对策措施和实施步骤。</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rPr>
        <w:t>重大活动应急预案：遇到本区举办或涉及本区的重大活动时，主办单位负责根据活动计划</w:t>
      </w:r>
      <w:r>
        <w:rPr>
          <w:rFonts w:hint="eastAsia"/>
          <w:lang w:val="en-US" w:eastAsia="zh-CN"/>
        </w:rPr>
        <w:t>制定</w:t>
      </w:r>
      <w:r>
        <w:rPr>
          <w:rFonts w:hint="eastAsia"/>
        </w:rPr>
        <w:t>针对性、实用性、可操作的综合应急预案。</w:t>
      </w:r>
    </w:p>
    <w:bookmarkEnd w:id="192"/>
    <w:p>
      <w:pPr>
        <w:pStyle w:val="3"/>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rPr>
          <w:rFonts w:hint="eastAsia"/>
        </w:rPr>
      </w:pPr>
      <w:bookmarkStart w:id="195" w:name="_Toc89032938"/>
      <w:bookmarkStart w:id="196" w:name="_Toc27177"/>
      <w:r>
        <w:rPr>
          <w:rFonts w:hint="eastAsia"/>
        </w:rPr>
        <w:t>8.3预案说明</w:t>
      </w:r>
      <w:bookmarkEnd w:id="195"/>
      <w:bookmarkEnd w:id="196"/>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cs="仿宋_GB2312"/>
          <w:bCs/>
          <w:szCs w:val="32"/>
        </w:rPr>
      </w:pPr>
      <w:r>
        <w:rPr>
          <w:rFonts w:hint="eastAsia" w:ascii="仿宋_GB2312" w:hAnsi="仿宋_GB2312" w:cs="仿宋_GB2312"/>
          <w:bCs/>
          <w:szCs w:val="32"/>
        </w:rPr>
        <w:t>本预案由区应急管理局负责制定，报区政府批准后组织实施区，区应急管理局负责解释与组织实施。</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pPr>
      <w:r>
        <w:rPr>
          <w:rFonts w:hint="eastAsia" w:ascii="仿宋_GB2312" w:hAnsi="仿宋_GB2312" w:cs="仿宋_GB2312"/>
          <w:bCs/>
          <w:szCs w:val="32"/>
        </w:rPr>
        <w:t>本预案</w:t>
      </w:r>
      <w:r>
        <w:rPr>
          <w:rFonts w:hint="eastAsia"/>
        </w:rPr>
        <w:t>自发布之日起施行。</w:t>
      </w:r>
    </w:p>
    <w:p>
      <w:pPr>
        <w:pageBreakBefore w:val="0"/>
        <w:widowControl w:val="0"/>
        <w:kinsoku/>
        <w:wordWrap/>
        <w:overflowPunct/>
        <w:topLinePunct w:val="0"/>
        <w:autoSpaceDE/>
        <w:autoSpaceDN/>
        <w:bidi w:val="0"/>
        <w:adjustRightInd w:val="0"/>
        <w:snapToGrid w:val="0"/>
        <w:spacing w:line="360" w:lineRule="auto"/>
        <w:jc w:val="left"/>
        <w:textAlignment w:val="auto"/>
      </w:pPr>
      <w:r>
        <w:br w:type="page"/>
      </w:r>
    </w:p>
    <w:p>
      <w:pPr>
        <w:pStyle w:val="2"/>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197" w:name="_Toc29981"/>
      <w:r>
        <w:rPr>
          <w:rFonts w:hint="eastAsia"/>
        </w:rPr>
        <w:t>9 附件</w:t>
      </w:r>
      <w:bookmarkEnd w:id="197"/>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pPr>
      <w:bookmarkStart w:id="198" w:name="_Toc29227"/>
      <w:r>
        <w:rPr>
          <w:rFonts w:hint="eastAsia"/>
        </w:rPr>
        <w:t>附件1新城区突发事件应急预案体系</w:t>
      </w:r>
      <w:bookmarkEnd w:id="198"/>
    </w:p>
    <w:p>
      <w:pPr>
        <w:pageBreakBefore w:val="0"/>
        <w:widowControl w:val="0"/>
        <w:kinsoku/>
        <w:wordWrap/>
        <w:overflowPunct/>
        <w:topLinePunct w:val="0"/>
        <w:autoSpaceDE/>
        <w:autoSpaceDN/>
        <w:bidi w:val="0"/>
        <w:adjustRightInd w:val="0"/>
        <w:snapToGrid w:val="0"/>
        <w:spacing w:line="360" w:lineRule="auto"/>
        <w:textAlignment w:val="auto"/>
      </w:pPr>
      <w:r>
        <mc:AlternateContent>
          <mc:Choice Requires="wps">
            <w:drawing>
              <wp:anchor distT="0" distB="0" distL="114300" distR="114300" simplePos="0" relativeHeight="251678720" behindDoc="0" locked="0" layoutInCell="1" allowOverlap="1">
                <wp:simplePos x="0" y="0"/>
                <wp:positionH relativeFrom="column">
                  <wp:posOffset>3215005</wp:posOffset>
                </wp:positionH>
                <wp:positionV relativeFrom="paragraph">
                  <wp:posOffset>5092065</wp:posOffset>
                </wp:positionV>
                <wp:extent cx="391160" cy="4445"/>
                <wp:effectExtent l="0" t="0" r="0" b="0"/>
                <wp:wrapNone/>
                <wp:docPr id="3" name="直接连接符 3"/>
                <wp:cNvGraphicFramePr/>
                <a:graphic xmlns:a="http://schemas.openxmlformats.org/drawingml/2006/main">
                  <a:graphicData uri="http://schemas.microsoft.com/office/word/2010/wordprocessingShape">
                    <wps:wsp>
                      <wps:cNvCnPr/>
                      <wps:spPr>
                        <a:xfrm flipH="1">
                          <a:off x="0" y="0"/>
                          <a:ext cx="39116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3.15pt;margin-top:400.95pt;height:0.35pt;width:30.8pt;z-index:251678720;mso-width-relative:page;mso-height-relative:page;" filled="f" stroked="t" coordsize="21600,21600" o:gfxdata="UEsDBAoAAAAAAIdO4kAAAAAAAAAAAAAAAAAEAAAAZHJzL1BLAwQUAAAACACHTuJAXFOLZdgAAAAL&#10;AQAADwAAAGRycy9kb3ducmV2LnhtbE2PTU/DMAyG70j8h8hI3FjSTitbaTohBFwmTWIUzmlj2orG&#10;qZqsG/8e7wQ3fzx6/bjYnt0gZpxC70lDslAgkBpve2o1VO8vd2sQIRqyZvCEGn4wwLa8vipMbv2J&#10;3nA+xFZwCIXcaOhiHHMpQ9OhM2HhRyTeffnJmcjt1Eo7mROHu0GmSmXSmZ74QmdGfOqw+T4cnYbH&#10;z93zcj/Xzg9201Yf1lXqNdX69iZRDyAinuMfDBd9VoeSnWp/JBvEoGGlsiWjGtYq2YBgYpXdc1Ff&#10;JmkGsizk/x/KX1BLAwQUAAAACACHTuJA+lK0GuEBAACmAwAADgAAAGRycy9lMm9Eb2MueG1srVNL&#10;jtQwEN0jcQfLezr9HTFRp2cxrYEFgpaAA1Q7TmLJP7k8ne5LcAEkdrBiyZ7bzHAMyk5oYNjMgiys&#10;clX5ud7zy/rqaDQ7yIDK2YrPJlPOpBWuVrat+Pt3N8+ec4YRbA3aWVnxk0R+tXn6ZN37Us5d53Qt&#10;AyMQi2XvK97F6MuiQNFJAzhxXloqNi4YiLQNbVEH6And6GI+nV4UvQu1D05IRMpuhyIfEcNjAF3T&#10;KCG3TtwaaeOAGqSGSJSwUx75Jk/bNFLEN02DMjJdcWIa80qXULxPa7FZQ9kG8J0S4wjwmBEecDKg&#10;LF16htpCBHYb1D9QRong0DVxIpwpBiJZEWIxmz7Q5m0HXmYuJDX6s+j4/2DF68MuMFVXfMGZBUMP&#10;fv/x292Hzz++f6L1/usXtkgi9R5L6r22uzDu0O9CYnxsgmGNVv4luSlrQKzYMUt8Okssj5EJSi4u&#10;Z7MLEl9QablcrhJ2MYAkMB8wvpDOsBRUXCub+EMJh1cYh9ZfLSlt3Y3SmvJQasv6il+u5isCB/Jl&#10;Q36g0HjihrblDHRLhhcxZER0WtXpdDqMod1f68AOkGySv3Gwv9rS1VvAbujLpbFNW6KRNBpUSdHe&#10;1acsVs7T82Wio9WSP/7c59O/f6/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xTi2XYAAAACwEA&#10;AA8AAAAAAAAAAQAgAAAAIgAAAGRycy9kb3ducmV2LnhtbFBLAQIUABQAAAAIAIdO4kD6UrQa4QEA&#10;AKYDAAAOAAAAAAAAAAEAIAAAACcBAABkcnMvZTJvRG9jLnhtbFBLBQYAAAAABgAGAFkBAAB6BQAA&#10;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3606165</wp:posOffset>
                </wp:positionH>
                <wp:positionV relativeFrom="paragraph">
                  <wp:posOffset>3972560</wp:posOffset>
                </wp:positionV>
                <wp:extent cx="1666240" cy="447675"/>
                <wp:effectExtent l="4445" t="4445" r="5715" b="5080"/>
                <wp:wrapNone/>
                <wp:docPr id="43" name="文本框 43"/>
                <wp:cNvGraphicFramePr/>
                <a:graphic xmlns:a="http://schemas.openxmlformats.org/drawingml/2006/main">
                  <a:graphicData uri="http://schemas.microsoft.com/office/word/2010/wordprocessingShape">
                    <wps:wsp>
                      <wps:cNvSpPr txBox="1"/>
                      <wps:spPr>
                        <a:xfrm>
                          <a:off x="0" y="0"/>
                          <a:ext cx="166624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应急工作手册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95pt;margin-top:312.8pt;height:35.25pt;width:131.2pt;z-index:251673600;mso-width-relative:page;mso-height-relative:page;" fillcolor="#FFFFFF [3201]" filled="t" stroked="t" coordsize="21600,21600" o:gfxdata="UEsDBAoAAAAAAIdO4kAAAAAAAAAAAAAAAAAEAAAAZHJzL1BLAwQUAAAACACHTuJALZjH0NgAAAAL&#10;AQAADwAAAGRycy9kb3ducmV2LnhtbE2PwU7DMAyG70i8Q2Qkbixpq4WtNJ0EEhLixtYLt6zx2orE&#10;qZJsHW9POMHR9qff39/srs6yC4Y4eVJQrAQwpN6biQYF3eH1YQMsJk1GW0+o4Bsj7Nrbm0bXxi/0&#10;gZd9GlgOoVhrBWNKc8157Ed0Oq78jJRvJx+cTnkMAzdBLzncWV4KIbnTE+UPo57xZcT+a392Ct7k&#10;c/rEzrybqqz80vE+nGxU6v6uEE/AEl7THwy/+lkd2ux09GcykVkFa/m4zagCWa4lsExsKlEBO+bN&#10;VhbA24b/79D+AFBLAwQUAAAACACHTuJAI+I3WVkCAAC5BAAADgAAAGRycy9lMm9Eb2MueG1srVTN&#10;jtMwEL4j8Q6W7zRtt9tC1XRVuipCqtiVFsTZdZzGwvYY221SHgDegBMX7jzXPgdjJ+3+cdgDOTgz&#10;nsk3M9/MZHbRaEX2wnkJJqeDXp8SYTgU0mxz+unj6tVrSnxgpmAKjMjpQXh6MX/5YlbbqRhCBaoQ&#10;jiCI8dPa5rQKwU6zzPNKaOZ7YIVBYwlOs4Cq22aFYzWia5UN+/1xVoMrrAMuvMfby9ZIO0T3HEAo&#10;S8nFJfCdFia0qE4oFrAkX0nr6TxlW5aCh6uy9CIQlVOsNKQTg6C8iWc2n7Hp1jFbSd6lwJ6TwqOa&#10;NJMGg56gLllgZOfkEygtuQMPZehx0FlbSGIEqxj0H3FzUzErUi1Itbcn0v3/g+Uf9teOyCKnozNK&#10;DNPY8dufP25//bn9/Z3gHRJUWz9FvxuLnqF5Cw2OzfHe42Wsuymdjm+siKAd6T2c6BVNIDx+NB6P&#10;hyM0cbSNRpPx5DzCZHdfW+fDOwGaRCGnDtuXWGX7tQ+t69ElBvOgZLGSSiXFbTdL5cieYatX6enQ&#10;H7gpQ+qcjs/O+wn5gS1inyA2ivEvTxEwW2Uw6UhKW3yUQrNpOqY2UByQKAftrHnLVxJx18yHa+Zw&#10;uJAAXL9whUepAJOBTqKkAvftX/fRH3uOVkpqHNac+q875gQl6r3BaXgzGEVeQ1JG55MhKu6+ZXPf&#10;YnZ6CUjSABfd8iRG/6COYulAf8YtXcSoaGKGY+ychqO4DO0K4ZZzsVgkJ5xny8La3FgeoWNLDCx2&#10;AUqZWhdparnp2MOJTs3vti+uzH09ed39ce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2Yx9DY&#10;AAAACwEAAA8AAAAAAAAAAQAgAAAAIgAAAGRycy9kb3ducmV2LnhtbFBLAQIUABQAAAAIAIdO4kAj&#10;4jdZWQIAALkEAAAOAAAAAAAAAAEAIAAAACcBAABkcnMvZTJvRG9jLnhtbFBLBQYAAAAABgAGAFkB&#10;AADyBQAAAAA=&#10;">
                <v:fill on="t" focussize="0,0"/>
                <v:stroke weight="0.5pt" color="#000000 [3204]" joinstyle="round"/>
                <v:imagedata o:title=""/>
                <o:lock v:ext="edit" aspectratio="f"/>
                <v:textbox>
                  <w:txbxContent>
                    <w:p>
                      <w:r>
                        <w:rPr>
                          <w:rFonts w:hint="eastAsia"/>
                        </w:rPr>
                        <w:t>应急工作手册</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3208655</wp:posOffset>
                </wp:positionH>
                <wp:positionV relativeFrom="paragraph">
                  <wp:posOffset>4184015</wp:posOffset>
                </wp:positionV>
                <wp:extent cx="391160" cy="4445"/>
                <wp:effectExtent l="0" t="0" r="0" b="0"/>
                <wp:wrapNone/>
                <wp:docPr id="45" name="直接连接符 45"/>
                <wp:cNvGraphicFramePr/>
                <a:graphic xmlns:a="http://schemas.openxmlformats.org/drawingml/2006/main">
                  <a:graphicData uri="http://schemas.microsoft.com/office/word/2010/wordprocessingShape">
                    <wps:wsp>
                      <wps:cNvCnPr/>
                      <wps:spPr>
                        <a:xfrm flipH="1">
                          <a:off x="4370705" y="6278245"/>
                          <a:ext cx="39116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2.65pt;margin-top:329.45pt;height:0.35pt;width:30.8pt;z-index:251675648;mso-width-relative:page;mso-height-relative:page;" filled="f" stroked="t" coordsize="21600,21600" o:gfxdata="UEsDBAoAAAAAAIdO4kAAAAAAAAAAAAAAAAAEAAAAZHJzL1BLAwQUAAAACACHTuJA3TPbc9gAAAAL&#10;AQAADwAAAGRycy9kb3ducmV2LnhtbE2Py07DMBBF90j8gzVI7KjdVrGaEKdCCNggIVECayeeJlH9&#10;iGI3LX/PdEV38zi6c6bcnp1lM05xCF7BciGAoW+DGXynoP56fdgAi0l7o23wqOAXI2yr25tSFyac&#10;/CfOu9QxCvGx0Ar6lMaC89j26HRchBE97fZhcjpRO3XcTPpE4c7ylRCSOz14utDrEZ97bA+7o1Pw&#10;9PP+sv6YGxesybv627havK2Uur9bikdgCc/pH4aLPqlDRU5NOHoTmVWQiWxNqAKZbXJgRGRSUtFc&#10;JrkEXpX8+ofqD1BLAwQUAAAACACHTuJALXlm/fEBAAC0AwAADgAAAGRycy9lMm9Eb2MueG1srVPN&#10;jtMwEL4j8Q6W7zRpttvuRk33sNXCAUEl4AFcx04s+U8eb9O+BC+AxA1OHLnzNiyPwdgJCyyXPZCD&#10;ZXs+fzPfN5P11dFochABlLMNnc9KSoTlrlW2a+i7tzfPLiiByGzLtLOioScB9Grz9Ml68LWoXO90&#10;KwJBEgv14Bvax+jrogDeC8Ng5rywGJQuGBbxGLqiDWxAdqOLqiyXxeBC64PjAgBvt2OQTozhMYRO&#10;SsXF1vFbI2wcWYPQLKIk6JUHusnVSil4fC0liEh0Q1FpzCsmwf0+rcVmzeouMN8rPpXAHlPCA02G&#10;KYtJ76m2LDJyG9Q/VEbx4MDJOOPOFKOQ7AiqmJcPvHnTMy+yFrQa/L3p8P9o+avDLhDVNnRxToll&#10;Bjt+9+Hr9/effnz7iOvdl88EI2jT4KFG9LXdhekEfheS5qMMhkit/Aucp+wC6iJHpDxblasSeU8N&#10;XVari2pkYrU4RsIRcHY5ny+xFRwBi8UYLUbCROwDxOfCGZI2DdXKJjdYzQ4vIWIRCP0FSdfW3Sit&#10;c0e1JUNDL88rTM4ZTqnE6cCt8agUbEcJ0x2OP48hM4LTqk2vEw+Ebn+tAzmwNDT5SwZgtr9gKfWW&#10;QT/icmiCaYvo5NfoUNrtXXvKxuV7bGbmmwYvTcuf5/z698+2+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M9tz2AAAAAsBAAAPAAAAAAAAAAEAIAAAACIAAABkcnMvZG93bnJldi54bWxQSwECFAAU&#10;AAAACACHTuJALXlm/fEBAAC0AwAADgAAAAAAAAABACAAAAAnAQAAZHJzL2Uyb0RvYy54bWxQSwUG&#10;AAAAAAYABgBZAQAAigU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3208655</wp:posOffset>
                </wp:positionH>
                <wp:positionV relativeFrom="paragraph">
                  <wp:posOffset>4182110</wp:posOffset>
                </wp:positionV>
                <wp:extent cx="0" cy="914400"/>
                <wp:effectExtent l="4445" t="0" r="14605" b="0"/>
                <wp:wrapNone/>
                <wp:docPr id="46" name="直接连接符 46"/>
                <wp:cNvGraphicFramePr/>
                <a:graphic xmlns:a="http://schemas.openxmlformats.org/drawingml/2006/main">
                  <a:graphicData uri="http://schemas.microsoft.com/office/word/2010/wordprocessingShape">
                    <wps:wsp>
                      <wps:cNvCnPr/>
                      <wps:spPr>
                        <a:xfrm>
                          <a:off x="4351655" y="6301740"/>
                          <a:ext cx="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2.65pt;margin-top:329.3pt;height:72pt;width:0pt;z-index:251676672;mso-width-relative:page;mso-height-relative:page;" filled="f" stroked="t" coordsize="21600,21600" o:gfxdata="UEsDBAoAAAAAAIdO4kAAAAAAAAAAAAAAAAAEAAAAZHJzL1BLAwQUAAAACACHTuJATkkEH9cAAAAL&#10;AQAADwAAAGRycy9kb3ducmV2LnhtbE2PPU/DQAyGdyT+w8lILBW9a6pEUYjTAcjGQgGxuolJInK+&#10;NHf9gF/PIQYYbT96/bzl5mxHdeTZD04QVksDiqVx7SAdwstzfZOD8oGkpdEJI3yyh011eVFS0bqT&#10;PPFxGzoVQ8QXhNCHMBVa+6ZnS37pJpZ4e3ezpRDHudPtTKcYbkedGJNpS4PEDz1NfNdz87E9WARf&#10;v/K+/lo0C/O27hwn+/vHB0K8vlqZW1CBz+EPhh/9qA5VdNq5g7RejQipSdcRRcjSPAMVid/NDiE3&#10;SQa6KvX/DtU3UEsDBBQAAAAIAIdO4kDJ+u7I5gEAAKcDAAAOAAAAZHJzL2Uyb0RvYy54bWytU01u&#10;EzEU3iNxB8t7MjNpEtpRJl00KhsEkYADOB57xpL/5OdmkktwASR2sGLJntu0HINnz9BC2XTBLDzP&#10;fp+/5+/z8/ryaDQ5iADK2YZWs5ISYblrle0a+uH99YtzSiAy2zLtrGjoSQC93Dx/th58Leaud7oV&#10;gSCJhXrwDe1j9HVRAO+FYTBzXlhMShcMizgNXdEGNiC70cW8LFfF4ELrg+MCAFe3Y5JOjOEphE5K&#10;xcXW8RsjbBxZg9AsoiTolQe6yaeVUvD4VkoQkeiGotKYRyyC8T6NxWbN6i4w3ys+HYE95QiPNBmm&#10;LBa9p9qyyMhNUP9QGcWDAyfjjDtTjEKyI6iiKh95865nXmQtaDX4e9Ph/9HyN4ddIKpt6GJFiWUG&#10;b/zu0/fbj19+/viM4923rwQzaNPgoUb0ld2FaQZ+F5Lmowwm/VENOSLR2bJaLZeUnBq6Oiurl4vJ&#10;ZnGMhCMAveeYu6gWizKnigcOHyC+Es6QFDRUK5sMYDU7vIaIdRH6G5KWrbtWWudL1JYMSLqcY2XO&#10;sDElNgSGxqM4sB0lTHfY8TyGzAhOqzbtTjwQuv2VDuTAUp/kL2nGan/BUuktg37E5dQE0xbRyaLR&#10;lBTtXXvKXuV1vL/MN/VaapA/53n3w/va/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SQQf1wAA&#10;AAsBAAAPAAAAAAAAAAEAIAAAACIAAABkcnMvZG93bnJldi54bWxQSwECFAAUAAAACACHTuJAyfru&#10;yOYBAACnAwAADgAAAAAAAAABACAAAAAmAQAAZHJzL2Uyb0RvYy54bWxQSwUGAAAAAAYABgBZAQAA&#10;fgU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2922905</wp:posOffset>
                </wp:positionH>
                <wp:positionV relativeFrom="paragraph">
                  <wp:posOffset>4513580</wp:posOffset>
                </wp:positionV>
                <wp:extent cx="294640" cy="1905"/>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294640" cy="1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30.15pt;margin-top:355.4pt;height:0.15pt;width:23.2pt;z-index:251677696;mso-width-relative:page;mso-height-relative:page;" filled="f" stroked="t" coordsize="21600,21600" o:gfxdata="UEsDBAoAAAAAAIdO4kAAAAAAAAAAAAAAAAAEAAAAZHJzL1BLAwQUAAAACACHTuJAiZAuTNgAAAAL&#10;AQAADwAAAGRycy9kb3ducmV2LnhtbE2PwU7DMAyG70i8Q2QkbizJBh2UphNCwAVpEqNwThvTVjRO&#10;1WTdeHu8Exxtf/r9/cXm6Acx4xT7QAb0QoFAaoLrqTVQvT9f3YKIyZKzQyA08IMRNuX5WWFzFw70&#10;hvMutYJDKObWQJfSmEsZmw69jYswIvHtK0zeJh6nVrrJHjjcD3KpVCa97Yk/dHbExw6b793eG3j4&#10;fH1abefah8HdtdWH85V6WRpzeaHVPYiEx/QHw0mf1aFkpzrsyUUxGLjO1IpRA2utuAMTNypbg6hP&#10;G61BloX836H8BVBLAwQUAAAACACHTuJAvE59BeIBAACmAwAADgAAAGRycy9lMm9Eb2MueG1srVM7&#10;jtswEO0D5A4E+1i2YS9iwfIWa2yaIDGQTz+mKIkAf+BwLfsSuUCAdEmVMn1uk91jZEgpzu6m2SIq&#10;iOHM8HHe49P68mg0O8iAytmKzyZTzqQVrla2rfiH99cvXnKGEWwN2llZ8ZNEfrl5/mzd+1LOXed0&#10;LQMjEItl7yvexejLokDRSQM4cV5aKjYuGIi0DW1RB+gJ3ehiPp1eFL0LtQ9OSETKbociHxHDUwBd&#10;0yght07cGGnjgBqkhkiUsFMe+SZP2zRSxLdNgzIyXXFiGvNKl1C8T2uxWUPZBvCdEuMI8JQRHnEy&#10;oCxdeobaQgR2E9Q/UEaJ4NA1cSKcKQYiWRFiMZs+0uZdB15mLiQ1+rPo+P9gxZvDLjBVV3zBmQVD&#10;D377+cevT1/vfn6h9fb7N7ZIIvUeS+q9srsw7tDvQmJ8bIJhjVb+I7kpa0Cs2DFLfDpLLI+RCUrO&#10;V4uLBYkvqDRbTZcJuxhAEpgPGF9JZ1gKKq6VTfyhhMNrjEPrn5aUtu5aaU15KLVlfcVXy/mSwIF8&#10;2ZAfKDSeuKFtOQPdkuFFDBkRnVZ1Op0OY2j3VzqwAySb5G8c7EFbunoL2A19uTS2aUs0kkaDKina&#10;u/qUxcp5er5MdLRa8sf9fT799/f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kC5M2AAAAAsB&#10;AAAPAAAAAAAAAAEAIAAAACIAAABkcnMvZG93bnJldi54bWxQSwECFAAUAAAACACHTuJAvE59BeIB&#10;AACmAwAADgAAAAAAAAABACAAAAAnAQAAZHJzL2Uyb0RvYy54bWxQSwUGAAAAAAYABgBZAQAAewUA&#10;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1243965</wp:posOffset>
                </wp:positionH>
                <wp:positionV relativeFrom="paragraph">
                  <wp:posOffset>4204335</wp:posOffset>
                </wp:positionV>
                <wp:extent cx="1666240" cy="609600"/>
                <wp:effectExtent l="4445" t="4445" r="5715" b="14605"/>
                <wp:wrapNone/>
                <wp:docPr id="24" name="文本框 24"/>
                <wp:cNvGraphicFramePr/>
                <a:graphic xmlns:a="http://schemas.openxmlformats.org/drawingml/2006/main">
                  <a:graphicData uri="http://schemas.microsoft.com/office/word/2010/wordprocessingShape">
                    <wps:wsp>
                      <wps:cNvSpPr txBox="1"/>
                      <wps:spPr>
                        <a:xfrm>
                          <a:off x="0" y="0"/>
                          <a:ext cx="1666240" cy="609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支撑性文件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95pt;margin-top:331.05pt;height:48pt;width:131.2pt;z-index:251662336;mso-width-relative:page;mso-height-relative:page;" fillcolor="#FFFFFF [3201]" filled="t" stroked="t" coordsize="21600,21600" o:gfxdata="UEsDBAoAAAAAAIdO4kAAAAAAAAAAAAAAAAAEAAAAZHJzL1BLAwQUAAAACACHTuJA/yr3RdgAAAAL&#10;AQAADwAAAGRycy9kb3ducmV2LnhtbE2Py07DMBBF90j8gzVI7KjzICENcSqBhITYUbJh58bTJMIe&#10;R7HblL9nWMHyao7uPdPsLs6KMy5h8qQg3SQgkHpvJhoUdB8vdxWIEDUZbT2hgm8MsGuvrxpdG7/S&#10;O573cRBcQqHWCsYY51rK0I/odNj4GYlvR784HTkugzSLXrncWZklSSmdnogXRj3j84j91/7kFLyW&#10;T/ETO/Nm8iz3ayf75WiDUrc3afIIIuIl/sHwq8/q0LLTwZ/IBGE5b4stowrKMktBMHFfVDmIg4KH&#10;okpBto38/0P7A1BLAwQUAAAACACHTuJAh8yPQ1oCAAC5BAAADgAAAGRycy9lMm9Eb2MueG1srVTN&#10;bhMxEL4j8Q6W73Q3IQ006qYKqYKQKlqpIM6O15td4T9sJ7vlAegbcOLCnefqc/DZm6Rpy6EHcnBm&#10;PONvZr6Z2dOzTkmyEc43Rhd0cJRTIjQ3ZaNXBf38afHqLSU+MF0yabQo6I3w9Gz68sVpaydiaGoj&#10;S+EIQLSftLagdQh2kmWe10Ixf2Ss0DBWxikWoLpVVjrWAl3JbJjn46w1rrTOcOE9bs97I90iuucA&#10;mqpquDg3fK2EDj2qE5IFlOTrxno6TdlWleDhsqq8CEQWFJWGdCII5GU8s+kpm6wcs3XDtymw56Tw&#10;qCbFGo2ge6hzFhhZu+YJlGq4M95U4YgblfWFJEZQxSB/xM11zaxItYBqb/ek+/8Hyz9urhxpyoIO&#10;R5RoptDxu5+3d7/+3P3+QXAHglrrJ/C7tvAM3TvTYWx29x6Xse6ucir+oyICO+i92dMrukB4fDQe&#10;j4cjmDhs4/xknCf+s/vX1vnwXhhFolBQh/YlVtnmwgdkAtedSwzmjWzKRSNlUtxqOZeObBhavUi/&#10;mCSePHCTmrSI/vo4T8gPbBF7D7GUjH99igA8qQEbSemLj1Lolt2WqaUpb0CUM/2secsXDXAvmA9X&#10;zGG4QADWL1ziqKRBMmYrUVIb9/1f99EfPYeVkhbDWlD/bc2coER+0JiGk8Eo8hqSMjp+M4TiDi3L&#10;Q4teq7kBSQMsuuVJjP5B7sTKGfUFWzqLUWFimiN2QcNOnId+hbDlXMxmyQnzbFm40NeWR+jYEm1m&#10;62CqJrUu0tRzs2UPE53as92+uDKHevK6/+J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vdF&#10;2AAAAAsBAAAPAAAAAAAAAAEAIAAAACIAAABkcnMvZG93bnJldi54bWxQSwECFAAUAAAACACHTuJA&#10;h8yPQ1oCAAC5BAAADgAAAAAAAAABACAAAAAnAQAAZHJzL2Uyb0RvYy54bWxQSwUGAAAAAAYABgBZ&#10;AQAA8wUAAAAA&#10;">
                <v:fill on="t" focussize="0,0"/>
                <v:stroke weight="0.5pt" color="#000000 [3204]" joinstyle="round"/>
                <v:imagedata o:title=""/>
                <o:lock v:ext="edit" aspectratio="f"/>
                <v:textbox>
                  <w:txbxContent>
                    <w:p>
                      <w:r>
                        <w:rPr>
                          <w:rFonts w:hint="eastAsia"/>
                        </w:rPr>
                        <w:t>支撑性文件</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842645</wp:posOffset>
                </wp:positionH>
                <wp:positionV relativeFrom="paragraph">
                  <wp:posOffset>4531360</wp:posOffset>
                </wp:positionV>
                <wp:extent cx="406400" cy="4445"/>
                <wp:effectExtent l="0" t="0" r="0" b="0"/>
                <wp:wrapNone/>
                <wp:docPr id="33" name="直接连接符 33"/>
                <wp:cNvGraphicFramePr/>
                <a:graphic xmlns:a="http://schemas.openxmlformats.org/drawingml/2006/main">
                  <a:graphicData uri="http://schemas.microsoft.com/office/word/2010/wordprocessingShape">
                    <wps:wsp>
                      <wps:cNvCnPr/>
                      <wps:spPr>
                        <a:xfrm>
                          <a:off x="1979930" y="6597015"/>
                          <a:ext cx="40640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6.35pt;margin-top:356.8pt;height:0.35pt;width:32pt;z-index:251668480;mso-width-relative:page;mso-height-relative:page;" filled="f" stroked="t" coordsize="21600,21600" o:gfxdata="UEsDBAoAAAAAAIdO4kAAAAAAAAAAAAAAAAAEAAAAZHJzL1BLAwQUAAAACACHTuJAZZ5LOdcAAAAL&#10;AQAADwAAAGRycy9kb3ducmV2LnhtbE2PzU7DMBCE70i8g7VIXCpqJ0EphDg9ALlxoYC4buMliYjt&#10;NHZ/4OnZnMpxZj/NzpTrkx3EgabQe6chWSoQ5BpvetdqeH+rb+5AhIjO4OAdafihAOvq8qLEwvij&#10;e6XDJraCQ1woUEMX41hIGZqOLIalH8nx7ctPFiPLqZVmwiOH20GmSuXSYu/4Q4cjPXbUfG/2VkOo&#10;P2hX/y6ahfrMWk/p7unlGbW+vkrUA4hIp3iGYa7P1aHiTlu/dyaIgXWWrhjVsEqyHMRM3OfsbGfn&#10;NgNZlfL/huoPUEsDBBQAAAAIAIdO4kAyfCmt6gEAAKoDAAAOAAAAZHJzL2Uyb0RvYy54bWytU82O&#10;0zAQviPxDpbvNGmbdknUdA9bLRcElYAHcB0nseQ/ebxN+xK8ABI3OHHkztvs8hiMnbALy2UP5OCM&#10;PV++me/zZHN50oochQdpTU3ns5wSYbhtpOlq+uH99YuXlEBgpmHKGlHTswB6uX3+bDO4Sixsb1Uj&#10;PEESA9XgatqH4KosA94LzWBmnTCYbK3XLODWd1nj2YDsWmWLPF9ng/WN85YLADzdjUk6MfqnENq2&#10;lVzsLL/RwoSR1QvFAkqCXjqg29Rt2woe3rYtiEBUTVFpSCsWwfgQ12y7YVXnmesln1pgT2nhkSbN&#10;pMGi91Q7Fhi58fIfKi25t2DbMONWZ6OQ5AiqmOePvHnXMyeSFrQa3L3p8P9o+Zvj3hPZ1HS5pMQw&#10;jTd+9+n77ccvP398xvXu21eCGbRpcFAh+srs/bQDt/dR86n1Or5RDTnhSJUXZblEg881Xa/Ki3y+&#10;Gm0Wp0A4Aop8XeSY5wgoiiJlswca5yG8ElaTGNRUSRM9YBU7voaApRH6GxKPjb2WSqV7VIYMNS1X&#10;ixWSM5zNFmcCQ+1QH5iOEqY6HHoefGIEq2QTv4484LvDlfLkyOKopCe2jdX+gsXSOwb9iEupCaYM&#10;oqNLoy8xOtjmnOxK53iFiW8atzgjf+7T1w+/2P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Z5L&#10;OdcAAAALAQAADwAAAAAAAAABACAAAAAiAAAAZHJzL2Rvd25yZXYueG1sUEsBAhQAFAAAAAgAh07i&#10;QDJ8Ka3qAQAAqgMAAA4AAAAAAAAAAQAgAAAAJgEAAGRycy9lMm9Eb2MueG1sUEsFBgAAAAAGAAYA&#10;WQEAAIIFA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2875280</wp:posOffset>
                </wp:positionH>
                <wp:positionV relativeFrom="paragraph">
                  <wp:posOffset>934085</wp:posOffset>
                </wp:positionV>
                <wp:extent cx="753110" cy="5080"/>
                <wp:effectExtent l="0" t="0" r="0" b="0"/>
                <wp:wrapNone/>
                <wp:docPr id="42" name="直接连接符 42"/>
                <wp:cNvGraphicFramePr/>
                <a:graphic xmlns:a="http://schemas.openxmlformats.org/drawingml/2006/main">
                  <a:graphicData uri="http://schemas.microsoft.com/office/word/2010/wordprocessingShape">
                    <wps:wsp>
                      <wps:cNvCnPr>
                        <a:endCxn id="26" idx="1"/>
                      </wps:cNvCnPr>
                      <wps:spPr>
                        <a:xfrm>
                          <a:off x="4037330" y="3177540"/>
                          <a:ext cx="753110"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6.4pt;margin-top:73.55pt;height:0.4pt;width:59.3pt;z-index:251672576;mso-width-relative:page;mso-height-relative:page;" filled="f" stroked="t" coordsize="21600,21600" o:gfxdata="UEsDBAoAAAAAAIdO4kAAAAAAAAAAAAAAAAAEAAAAZHJzL1BLAwQUAAAACACHTuJAr929RdgAAAAL&#10;AQAADwAAAGRycy9kb3ducmV2LnhtbE2PvU7DQBCEeyTe4bRINBG5s3EIGJ9TAO5oCCDajb3YFr49&#10;x3f5gadnoYFydkYz3xaroxvUnqbQe7aQzA0o4to3PbcWXp6ri2tQISI3OHgmC58UYFWenhSYN/7A&#10;T7Rfx1ZJCYccLXQxjrnWoe7IYZj7kVi8dz85jCKnVjcTHqTcDTo15ko77FkWOhzprqP6Y71zFkL1&#10;Stvqa1bPzNtl6ynd3j8+oLXnZ4m5BRXpGP/C8IMv6FAK08bvuAlqsJAtUkGPYmTLBJQkFsskA7X5&#10;vdyALgv9/4fyG1BLAwQUAAAACACHTuJAPzGE3PoBAADSAwAADgAAAGRycy9lMm9Eb2MueG1srVNL&#10;jtQwEN0jcQfLezrp3/QQdXoW3Ro2CFoCDlDtOIkl/2R7OulLcAEkdrBiyZ7bMByDspOeH5tZkIVj&#10;p14913tVWV/1SpIjd14YXdLpJKeEa2YqoZuSfvp4/eqSEh9AVyCN5iU9cU+vNi9frDtb8Jlpjay4&#10;I0iifdHZkrYh2CLLPGu5Aj8xlmsM1sYpCHh0TVY56JBdyWyW5xdZZ1xlnWHce/y6G4J0ZHTPITR1&#10;LRjfGXajuA4Dq+MSAkryrbCeblK1dc1ZeF/XngciS4pKQ1rxEtwf4ppt1lA0Dmwr2FgCPKeEJ5oU&#10;CI2X3lHtIAC5ceIfKiWYM97UYcKMygYhyRFUMc2fePOhBcuTFrTa2zvT/f+jZe+Oe0dEVdLFjBIN&#10;Cjt+++Xn78/f/vz6iuvtj+8EI2hTZ32B6K3euyiU62rb65Q5u6D47nGYIi57BIwHb4eUvnYqpqJq&#10;guhFPl/N59iIU0nn09VquRjbwftAGAJWy/l0inGGgGV+maIZFGca63x4w40icVNSKXT0Cgo4vvUh&#10;FgLFGRI/a3MtpEz9lpp0JX29nC2RHHCGa5wd3CqLPnjdUAKywZ+DBZcYvZGiitmRx7vmsJWOHCGO&#10;VHqSbIw8hMWrd+DbAZdCI0zq0aTBl+jQwVSnvTubh61O1Y9jGWfp4Tll3/+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3b1F2AAAAAsBAAAPAAAAAAAAAAEAIAAAACIAAABkcnMvZG93bnJldi54&#10;bWxQSwECFAAUAAAACACHTuJAPzGE3PoBAADSAwAADgAAAAAAAAABACAAAAAnAQAAZHJzL2Uyb0Rv&#10;Yy54bWxQSwUGAAAAAAYABgBZAQAAkwU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3599815</wp:posOffset>
                </wp:positionH>
                <wp:positionV relativeFrom="paragraph">
                  <wp:posOffset>4886960</wp:posOffset>
                </wp:positionV>
                <wp:extent cx="1666240" cy="447675"/>
                <wp:effectExtent l="4445" t="4445" r="5715" b="5080"/>
                <wp:wrapNone/>
                <wp:docPr id="44" name="文本框 44"/>
                <wp:cNvGraphicFramePr/>
                <a:graphic xmlns:a="http://schemas.openxmlformats.org/drawingml/2006/main">
                  <a:graphicData uri="http://schemas.microsoft.com/office/word/2010/wordprocessingShape">
                    <wps:wsp>
                      <wps:cNvSpPr txBox="1"/>
                      <wps:spPr>
                        <a:xfrm>
                          <a:off x="0" y="0"/>
                          <a:ext cx="166624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事件行动方案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384.8pt;height:35.25pt;width:131.2pt;z-index:251674624;mso-width-relative:page;mso-height-relative:page;" fillcolor="#FFFFFF [3201]" filled="t" stroked="t" coordsize="21600,21600" o:gfxdata="UEsDBAoAAAAAAIdO4kAAAAAAAAAAAAAAAAAEAAAAZHJzL1BLAwQUAAAACACHTuJAv76FDdgAAAAL&#10;AQAADwAAAGRycy9kb3ducmV2LnhtbE2Py07DMBBF90j8gzVI7KidBEwT4lQCCQmxo82GnRtPkwg/&#10;othtyt8zrNrdjObozrn15uwsO+Ecx+AVZCsBDH0XzOh7Be3u/WENLCbtjbbBo4JfjLBpbm9qXZmw&#10;+C88bVPPKMTHSisYUpoqzmM3oNNxFSb0dDuE2elE69xzM+uFwp3luRCSOz16+jDoCd8G7H62R6fg&#10;Q76mb2zNpynyIiwt7+aDjUrd32XiBVjCc7rA8K9P6tCQ0z4cvYnMKniSsiRUwbMsJTAi1nlZANvT&#10;8Cgy4E3Nrzs0f1BLAwQUAAAACACHTuJA0M5X1VkCAAC5BAAADgAAAGRycy9lMm9Eb2MueG1srVTN&#10;btswDL4P2DsIui9OMifdgjpF1iLDgGItkA07K7IcC5NETVJidw+wvsFOu+y+58pzjJKd9G+HHuaD&#10;TIr0R/Ij6dOzViuyE85LMAUdDYaUCMOhlGZT0M+flq/eUOIDMyVTYERBb4SnZ/OXL04bOxNjqEGV&#10;whEEMX7W2ILWIdhZlnleC838AKwwaKzAaRZQdZusdKxBdK2y8XA4zRpwpXXAhfd4e9EZaY/ongMI&#10;VSW5uAC+1cKEDtUJxQKW5GtpPZ2nbKtK8HBVVV4EogqKlYZ0YhCU1/HM5qdstnHM1pL3KbDnpPCo&#10;Js2kwaBHqAsWGNk6+QRKS+7AQxUGHHTWFZIYwSpGw0fcrGpmRaoFqfb2SLr/f7D84+7aEVkWNM8p&#10;MUxjx/c/b/e//ux//yB4hwQ11s/Qb2XRM7TvoMWxOdx7vIx1t5XT8Y0VEbQjvTdHekUbCI8fTafT&#10;cY4mjrY8P5meTCJMdve1dT68F6BJFArqsH2JVba79KFzPbjEYB6ULJdSqaS4zfpcObJj2Oplenr0&#10;B27KkKag09eTYUJ+YIvYR4i1YvzrUwTMVhlMOpLSFR+l0K7bnqk1lDdIlINu1rzlS4m4l8yHa+Zw&#10;uJAAXL9whUelAJOBXqKkBvf9X/fRH3uOVkoaHNaC+m9b5gQl6oPBaXg7yiOvISn55GSMirtvWd+3&#10;mK0+ByRphItueRKjf1AHsXKgv+CWLmJUNDHDMXZBw0E8D90K4ZZzsVgkJ5xny8KlWVkeoWNLDCy2&#10;ASqZWhdp6rjp2cOJTs3vty+uzH09ed39ce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hQ3Y&#10;AAAACwEAAA8AAAAAAAAAAQAgAAAAIgAAAGRycy9kb3ducmV2LnhtbFBLAQIUABQAAAAIAIdO4kDQ&#10;zlfVWQIAALkEAAAOAAAAAAAAAAEAIAAAACcBAABkcnMvZTJvRG9jLnhtbFBLBQYAAAAABgAGAFkB&#10;AADyBQAAAAA=&#10;">
                <v:fill on="t" focussize="0,0"/>
                <v:stroke weight="0.5pt" color="#000000 [3204]" joinstyle="round"/>
                <v:imagedata o:title=""/>
                <o:lock v:ext="edit" aspectratio="f"/>
                <v:textbox>
                  <w:txbxContent>
                    <w:p>
                      <w:r>
                        <w:rPr>
                          <w:rFonts w:hint="eastAsia"/>
                        </w:rPr>
                        <w:t>事件行动方案</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3294380</wp:posOffset>
                </wp:positionH>
                <wp:positionV relativeFrom="paragraph">
                  <wp:posOffset>1734185</wp:posOffset>
                </wp:positionV>
                <wp:extent cx="381635" cy="0"/>
                <wp:effectExtent l="0" t="0" r="0" b="0"/>
                <wp:wrapNone/>
                <wp:docPr id="41" name="直接连接符 41"/>
                <wp:cNvGraphicFramePr/>
                <a:graphic xmlns:a="http://schemas.openxmlformats.org/drawingml/2006/main">
                  <a:graphicData uri="http://schemas.microsoft.com/office/word/2010/wordprocessingShape">
                    <wps:wsp>
                      <wps:cNvCnPr/>
                      <wps:spPr>
                        <a:xfrm>
                          <a:off x="0" y="0"/>
                          <a:ext cx="381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9.4pt;margin-top:136.55pt;height:0pt;width:30.05pt;z-index:251671552;mso-width-relative:page;mso-height-relative:page;" filled="f" stroked="t" coordsize="21600,21600" o:gfxdata="UEsDBAoAAAAAAIdO4kAAAAAAAAAAAAAAAAAEAAAAZHJzL1BLAwQUAAAACACHTuJA7HVRc9gAAAAL&#10;AQAADwAAAGRycy9kb3ducmV2LnhtbE2PzU7DMBCE70h9B2uRuFTUTqq2IcTpoZAbF0oR1228JBHx&#10;Oo3dH3h6jIQEx50dzXxTrC+2FycafedYQzJTIIhrZzpuNOxeqtsMhA/IBnvHpOGTPKzLyVWBuXFn&#10;fqbTNjQihrDPUUMbwpBL6euWLPqZG4jj792NFkM8x0aaEc8x3PYyVWopLXYcG1ocaNNS/bE9Wg2+&#10;eqVD9TWtp+pt3jhKDw9Pj6j1zXWi7kEEuoQ/M/zgR3QoI9PeHdl40WtYJFlEDxrS1TwBER2LVXYH&#10;Yv+ryLKQ/zeU31BLAwQUAAAACACHTuJAN7J0UdgBAACbAwAADgAAAGRycy9lMm9Eb2MueG1srVPN&#10;bhMxEL4j8Q6W72STlFZllU0PjcoFQSTgASZee9eS/+Rxs8lL8AJI3ODEkTtvQ/sYjJ1tSttLD+Tg&#10;jGc+f+Pv8+ziYmcN28qI2ruGzyZTzqQTvtWua/jnT1evzjnDBK4F451s+F4iv1i+fLEYQi3nvvem&#10;lZERicN6CA3vUwp1VaHopQWc+CAdFZWPFhJtY1e1EQZit6aaT6dn1eBjG6IXEpGyq0ORj4zxOYRe&#10;KS3kyotrK106sEZpIJEk7HVAviy3VUqK9EEplImZhpPSVFZqQvEmr9VyAXUXIfRajFeA51zhkSYL&#10;2lHTI9UKErDrqJ9QWS2iR6/SRHhbHYQUR0jFbPrIm489BFm0kNUYjqbj/6MV77fryHTb8NczzhxY&#10;evGbr7/+fPl++/sbrTc/fzCqkE1DwJrQl24dxx2Gdcyadyra/E9q2K5Yuz9aK3eJCUqenM/OTk45&#10;E3el6v5ciJjeSm9ZDhputMuioYbtO0zUi6B3kJx2/kobUx7OODY0/M3pPDMDDaOiIaDQBhKEruMM&#10;TEdTLlIsjOiNbvPpzIOx21yayLaQZ6P8sk7q9gCWW68A+wOulEaYcYTOthyMyNHGt/viT8nTmxW+&#10;cb7yUPy7L6fvv6n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x1UXPYAAAACwEAAA8AAAAAAAAA&#10;AQAgAAAAIgAAAGRycy9kb3ducmV2LnhtbFBLAQIUABQAAAAIAIdO4kA3snRR2AEAAJsDAAAOAAAA&#10;AAAAAAEAIAAAACcBAABkcnMvZTJvRG9jLnhtbFBLBQYAAAAABgAGAFkBAABxBQ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3294380</wp:posOffset>
                </wp:positionH>
                <wp:positionV relativeFrom="paragraph">
                  <wp:posOffset>257810</wp:posOffset>
                </wp:positionV>
                <wp:extent cx="4445" cy="1474470"/>
                <wp:effectExtent l="4445" t="0" r="10160" b="11430"/>
                <wp:wrapNone/>
                <wp:docPr id="37" name="直接连接符 37"/>
                <wp:cNvGraphicFramePr/>
                <a:graphic xmlns:a="http://schemas.openxmlformats.org/drawingml/2006/main">
                  <a:graphicData uri="http://schemas.microsoft.com/office/word/2010/wordprocessingShape">
                    <wps:wsp>
                      <wps:cNvCnPr/>
                      <wps:spPr>
                        <a:xfrm>
                          <a:off x="4437380" y="2339340"/>
                          <a:ext cx="4445" cy="1474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9.4pt;margin-top:20.3pt;height:116.1pt;width:0.35pt;z-index:251670528;mso-width-relative:page;mso-height-relative:page;" filled="f" stroked="t" coordsize="21600,21600" o:gfxdata="UEsDBAoAAAAAAIdO4kAAAAAAAAAAAAAAAAAEAAAAZHJzL1BLAwQUAAAACACHTuJAYOewNdkAAAAK&#10;AQAADwAAAGRycy9kb3ducmV2LnhtbE2PzU7DMBCE70i8g7VIXKrWTiAlhGx6AHLj0kLF1Y2XJCJe&#10;p7H7A0+POcFxNKOZb8rV2Q7iSJPvHSMkCwWCuHGm5xbh7bWe5yB80Gz04JgQvsjDqrq8KHVh3InX&#10;dNyEVsQS9oVG6EIYCyl905HVfuFG4uh9uMnqEOXUSjPpUyy3g0yVWkqre44LnR7psaPmc3OwCL7e&#10;0r7+njUz9X7TOkr3Ty/PGvH6KlEPIAKdw18YfvEjOlSRaecObLwYELIkj+gB4VYtQcRAltxnIHYI&#10;6V2ag6xK+f9C9QNQSwMEFAAAAAgAh07iQPlap03pAQAAqwMAAA4AAABkcnMvZTJvRG9jLnhtbK1T&#10;TW4TMRTeI3EHy3sySWZK2lEmXTQqGwSRgAM4HnvGkv/k52aSS3ABJHawYsme27Qcg2fP0ELZdMEs&#10;PM9+n7/n7/Pz+vJoNDmIAMrZhi5mc0qE5a5Vtmvoh/fXL84pgchsy7SzoqEnAfRy8/zZevC1WLre&#10;6VYEgiQW6sE3tI/R10UBvBeGwcx5YTEpXTAs4jR0RRvYgOxGF8v5/GUxuND64LgAwNXtmKQTY3gK&#10;oZNScbF1/MYIG0fWIDSLKAl65YFu8mmlFDy+lRJEJLqhqDTmEYtgvE9jsVmzugvM94pPR2BPOcIj&#10;TYYpi0XvqbYsMnIT1D9URvHgwMk4484Uo5DsCKpYzB95865nXmQtaDX4e9Ph/9HyN4ddIKptaLmi&#10;xDKDN3736fvtxy8/f3zG8e7bV4IZtGnwUCP6yu7CNAO/C0nzUQaT/qiGHBtaVeWqPEeDTw1dluVF&#10;WU02i2MkPAOqM0o4phfVqqpWOV088PgA8ZVwhqSgoVrZZAKr2eE1RKyN0N+QtGzdtdI6X6S2ZGjo&#10;xdky8TNsTolNgaHxKBBsRwnTHXY9jyEzgtOqTbsTD4Ruf6UDObDUK/lLurHaX7BUesugH3E5NcG0&#10;RXSyaTQmRXvXnrJfeR3vMPNN/Zaa5M953v3wxj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Dn&#10;sDXZAAAACgEAAA8AAAAAAAAAAQAgAAAAIgAAAGRycy9kb3ducmV2LnhtbFBLAQIUABQAAAAIAIdO&#10;4kD5WqdN6QEAAKsDAAAOAAAAAAAAAAEAIAAAACgBAABkcnMvZTJvRG9jLnhtbFBLBQYAAAAABgAG&#10;AFkBAACDBQ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3294380</wp:posOffset>
                </wp:positionH>
                <wp:positionV relativeFrom="paragraph">
                  <wp:posOffset>267335</wp:posOffset>
                </wp:positionV>
                <wp:extent cx="324485" cy="0"/>
                <wp:effectExtent l="0" t="0" r="0" b="0"/>
                <wp:wrapNone/>
                <wp:docPr id="36" name="直接连接符 36"/>
                <wp:cNvGraphicFramePr/>
                <a:graphic xmlns:a="http://schemas.openxmlformats.org/drawingml/2006/main">
                  <a:graphicData uri="http://schemas.microsoft.com/office/word/2010/wordprocessingShape">
                    <wps:wsp>
                      <wps:cNvCnPr/>
                      <wps:spPr>
                        <a:xfrm flipH="1">
                          <a:off x="4437380" y="2348865"/>
                          <a:ext cx="324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9.4pt;margin-top:21.05pt;height:0pt;width:25.55pt;z-index:251669504;mso-width-relative:page;mso-height-relative:page;" filled="f" stroked="t" coordsize="21600,21600" o:gfxdata="UEsDBAoAAAAAAIdO4kAAAAAAAAAAAAAAAAAEAAAAZHJzL1BLAwQUAAAACACHTuJAXZkIj9cAAAAJ&#10;AQAADwAAAGRycy9kb3ducmV2LnhtbE2PwU7DMBBE70j8g7WVeqN2Ulo1aZwKIeCChNQSODvxNolq&#10;r6PYTcvfY8QBjjs7mnlT7K7WsAlH3zuSkCwEMKTG6Z5aCdX7890GmA+KtDKOUMIXetiVtzeFyrW7&#10;0B6nQ2hZDCGfKwldCEPOuW86tMov3IAUf0c3WhXiObZcj+oSw63hqRBrblVPsaFTAz522JwOZyvh&#10;4fP1afk21dYZnbXVh7aVeEmlnM8SsQUW8Br+zPCDH9GhjEy1O5P2zEhYJZuIHiTcpwmwaFitswxY&#10;/SvwsuD/F5TfUEsDBBQAAAAIAIdO4kDCiTjZ8AEAALEDAAAOAAAAZHJzL2Uyb0RvYy54bWytU82O&#10;0zAQviPxDpbvNN00LSFquoetFg4IKgEP4Dp2Ysl/8nib9iV4ASRucOLInbdheQzGTllgueyBHCzb&#10;8/mb+b6ZrC+PRpODCKCcbenFbE6JsNx1yvYtfff2+klNCURmO6adFS09CaCXm8eP1qNvROkGpzsR&#10;CJJYaEbf0iFG3xQF8EEYBjPnhcWgdMGwiMfQF11gI7IbXZTz+aoYXeh8cFwA4O12CtIzY3gIoZNS&#10;cbF1/MYIGyfWIDSLKAkG5YFucrVSCh5fSwkiEt1SVBrziklwv09rsVmzpg/MD4qfS2APKeGeJsOU&#10;xaR3VFsWGbkJ6h8qo3hw4GSccWeKSUh2BFVczO9582ZgXmQtaDX4O9Ph/9HyV4ddIKpr6WJFiWUG&#10;O3774ev3959+fPuI6+2XzwQjaNPooUH0ld2F8wn8LiTNRxkMkVr5FzhP2QXURY4trarF00WNVp9a&#10;Wi6qul4tJ8PFMRKOgEVZVfWSEo6A3ItiYkusPkB8LpwhadNSrWyygjXs8BIiVoDQX5B0bd210jq3&#10;U1sytvTZskzMDEdU4mjg1niUCbanhOkeZ5/HkBnBadWl14kHQr+/0oEcWJqY/KWaMdtfsJR6y2CY&#10;cDl0hmmL6GTWZE/a7V13yq7le+xk5jtPXRqVP8/59e8/bf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ZkIj9cAAAAJAQAADwAAAAAAAAABACAAAAAiAAAAZHJzL2Rvd25yZXYueG1sUEsBAhQAFAAA&#10;AAgAh07iQMKJONnwAQAAsQMAAA4AAAAAAAAAAQAgAAAAJgEAAGRycy9lMm9Eb2MueG1sUEsFBgAA&#10;AAAGAAYAWQEAAIgFA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845820</wp:posOffset>
                </wp:positionH>
                <wp:positionV relativeFrom="paragraph">
                  <wp:posOffset>900430</wp:posOffset>
                </wp:positionV>
                <wp:extent cx="362585" cy="3623945"/>
                <wp:effectExtent l="4445" t="4445" r="13970" b="10160"/>
                <wp:wrapNone/>
                <wp:docPr id="31" name="肘形连接符 31"/>
                <wp:cNvGraphicFramePr/>
                <a:graphic xmlns:a="http://schemas.openxmlformats.org/drawingml/2006/main">
                  <a:graphicData uri="http://schemas.microsoft.com/office/word/2010/wordprocessingShape">
                    <wps:wsp>
                      <wps:cNvCnPr/>
                      <wps:spPr>
                        <a:xfrm rot="10800000" flipV="1">
                          <a:off x="1998980" y="2992120"/>
                          <a:ext cx="362585" cy="3623945"/>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66.6pt;margin-top:70.9pt;height:285.35pt;width:28.55pt;rotation:11796480f;z-index:251667456;mso-width-relative:page;mso-height-relative:page;" filled="f" stroked="t" coordsize="21600,21600" o:gfxdata="UEsDBAoAAAAAAIdO4kAAAAAAAAAAAAAAAAAEAAAAZHJzL1BLAwQUAAAACACHTuJA3/dzt9kAAAAL&#10;AQAADwAAAGRycy9kb3ducmV2LnhtbE2Py07DMBBF90j8gzVIbBC1nZQ+QpwKEEhddEPpB0xjN4mI&#10;7ch2m/bvma7obq7m6D7K1dn27GRC7LxTICcCmHG1151rFOx+vp4XwGJCp7H3zii4mAir6v6uxEL7&#10;0X2b0zY1jExcLFBBm9JQcB7r1liMEz8YR7+DDxYTydBwHXAkc9vzTIgZt9g5SmhxMB+tqX+3R6sg&#10;w5DkUzdfT8fN+279dsDN5XOm1OODFK/Akjmnfxiu9ak6VNRp749OR9aTzvOMUDqmkjZciaXIge0V&#10;zGX2Arwq+e2G6g9QSwMEFAAAAAgAh07iQEtFFAgcAgAACQQAAA4AAABkcnMvZTJvRG9jLnhtbK1T&#10;uY4UMRDNkfgHyznTxzCr6db0bDCjJeFYiSP3uN3dlnzJ5Z0j5QOIiQiQIOIXEF8D7GdQdvcusCQb&#10;0EGrXMcrv1fl1flRK7IXHqQ1DS1mOSXCcNtK0zf09auLR0tKIDDTMmWNaOhJAD1fP3ywOrhalHaw&#10;qhWeIIiB+uAaOoTg6iwDPgjNYGadMBjsrNcs4NH3WevZAdG1yso8P8sO1rfOWy4A0Lsdg3RC9PcB&#10;tF0nudhafqWFCSOqF4oFpASDdEDX6bZdJ3h40XUgAlENRaYh/bEJ2rv4z9YrVveeuUHy6QrsPle4&#10;w0kzabDpLdSWBUauvPwHSkvuLdguzLjV2UgkKYIsivyONi8H5kTiglKDuxUd/h8sf76/9ES2DZ0X&#10;lBimceLXb99///rx+tuHH+8+/fzymWAEZTo4qDF7Yy79dAJ36SPnY+c18Ra1LfJlHj9KOiXdG3Qk&#10;UZAmOeKhqpbVEoOnhpZVVRblpL84BsIxYX5WLpYLSjgmoD2vHi9i52xsEVs5D+GJsJpEo6E7HP/G&#10;GoNjtr5Mvdj+KYSx6CY5Fhp7IZVCP6uVIYeGVosydmK4wR1uDpraoQpgekqY6vFp8OATIlgl21gd&#10;i8H3u43yZM/iQo1kk39grRi91SIqkFoBC89sO7qL/MaPfCaYxO0v/HjnLYNhrEmhSQJlMDsOYZQ9&#10;WjvbntI0kh83JOFN2xxX8M9zqv79gt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3c7fZAAAA&#10;CwEAAA8AAAAAAAAAAQAgAAAAIgAAAGRycy9kb3ducmV2LnhtbFBLAQIUABQAAAAIAIdO4kBLRRQI&#10;HAIAAAkEAAAOAAAAAAAAAAEAIAAAACgBAABkcnMvZTJvRG9jLnhtbFBLBQYAAAAABgAGAFkBAAC2&#10;BQAAAAA=&#10;">
                <v:fill on="f" focussize="0,0"/>
                <v:stroke color="#000000 [32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115570</wp:posOffset>
                </wp:positionV>
                <wp:extent cx="533400" cy="5076190"/>
                <wp:effectExtent l="4445" t="4445" r="14605" b="5715"/>
                <wp:wrapNone/>
                <wp:docPr id="21" name="文本框 21"/>
                <wp:cNvGraphicFramePr/>
                <a:graphic xmlns:a="http://schemas.openxmlformats.org/drawingml/2006/main">
                  <a:graphicData uri="http://schemas.microsoft.com/office/word/2010/wordprocessingShape">
                    <wps:wsp>
                      <wps:cNvSpPr txBox="1"/>
                      <wps:spPr>
                        <a:xfrm>
                          <a:off x="1151255" y="2787650"/>
                          <a:ext cx="533400" cy="5076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
                            <w:r>
                              <w:rPr>
                                <w:rFonts w:hint="eastAsia"/>
                              </w:rPr>
                              <w:t>新</w:t>
                            </w:r>
                          </w:p>
                          <w:p>
                            <w:r>
                              <w:rPr>
                                <w:rFonts w:hint="eastAsia"/>
                              </w:rPr>
                              <w:t>城</w:t>
                            </w:r>
                          </w:p>
                          <w:p>
                            <w:r>
                              <w:rPr>
                                <w:rFonts w:hint="eastAsia"/>
                              </w:rPr>
                              <w:t>区</w:t>
                            </w:r>
                          </w:p>
                          <w:p>
                            <w:r>
                              <w:rPr>
                                <w:rFonts w:hint="eastAsia"/>
                              </w:rPr>
                              <w:t>突</w:t>
                            </w:r>
                          </w:p>
                          <w:p>
                            <w:r>
                              <w:rPr>
                                <w:rFonts w:hint="eastAsia"/>
                              </w:rPr>
                              <w:t>发</w:t>
                            </w:r>
                          </w:p>
                          <w:p>
                            <w:r>
                              <w:rPr>
                                <w:rFonts w:hint="eastAsia"/>
                              </w:rPr>
                              <w:t>事</w:t>
                            </w:r>
                          </w:p>
                          <w:p>
                            <w:r>
                              <w:rPr>
                                <w:rFonts w:hint="eastAsia"/>
                              </w:rPr>
                              <w:t>件</w:t>
                            </w:r>
                          </w:p>
                          <w:p>
                            <w:r>
                              <w:rPr>
                                <w:rFonts w:hint="eastAsia"/>
                              </w:rPr>
                              <w:t>应</w:t>
                            </w:r>
                          </w:p>
                          <w:p>
                            <w:r>
                              <w:rPr>
                                <w:rFonts w:hint="eastAsia"/>
                              </w:rPr>
                              <w:t>急</w:t>
                            </w:r>
                          </w:p>
                          <w:p>
                            <w:r>
                              <w:rPr>
                                <w:rFonts w:hint="eastAsia"/>
                              </w:rPr>
                              <w:t>预</w:t>
                            </w:r>
                          </w:p>
                          <w:p>
                            <w:r>
                              <w:rPr>
                                <w:rFonts w:hint="eastAsia"/>
                              </w:rPr>
                              <w:t>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9.1pt;height:399.7pt;width:42pt;z-index:251659264;mso-width-relative:page;mso-height-relative:page;" fillcolor="#FFFFFF [3201]" filled="t" stroked="t" coordsize="21600,21600" o:gfxdata="UEsDBAoAAAAAAIdO4kAAAAAAAAAAAAAAAAAEAAAAZHJzL1BLAwQUAAAACACHTuJAYFjQgtEAAAAH&#10;AQAADwAAAGRycy9kb3ducmV2LnhtbE2OT0vEMBTE78J+h/AWvLnpH6ylNl1QEMSbay/ess3btpi8&#10;lCS7Xb+9z5OehmGGmV+7vzorLhji7ElBvstAIA3ezDQq6D9e7moQMWky2npCBd8YYd9tblrdGL/S&#10;O14OaRQ8QrHRCqaUlkbKOEzodNz5BYmzkw9OJ7ZhlCbolcedlUWWVdLpmfhh0gs+Tzh8Hc5OwWv1&#10;lD6xN2+mLEq/9nIIJxuVut3m2SOIhNf0V4ZffEaHjpmO/kwmCsu+5CJLXYDguL5nf2TNHyqQXSv/&#10;83c/UEsDBBQAAAAIAIdO4kBfU8IDZQIAAMUEAAAOAAAAZHJzL2Uyb0RvYy54bWytVEFu2zAQvBfo&#10;HwjeG1mOZSdG5MBN4KJA0ARIi55pirKEUiRL0pbSBzQ/6KmX3vuuvKNDSk7SpIcc6gO95I5nd2d3&#10;fXLaNZLshHW1VjlND0aUCMV1UatNTj99XL05osR5pgomtRI5vRGOni5evzppzVyMdaVlISwBiXLz&#10;1uS08t7Mk8TxSjTMHWgjFJyltg3zuNpNUljWgr2RyXg0miattoWxmgvn8HreO+nAaF9CqMuy5uJc&#10;820jlO9ZrZDMoyRX1cbRRcy2LAX3l2XphCcyp6jUxxNBYK/DmSxO2HxjmalqPqTAXpLCk5oaVisE&#10;vac6Z56Rra2fUTU1t9rp0h9w3SR9IVERVJGOnmhzXTEjYi2Q2pl70d3/o+UfdleW1EVOxyklijXo&#10;+N2P27ufv+9+fSd4g0CtcXPgrg2QvnurO4zN/t3hMdTdlbYJ36iIBH+apeMso+QGxLOj2TQbpBad&#10;JxyA7PBwMkITOADZaDZNjyMgeWAy1vl3QjckGDm1aGVUmO0unEdWgO4hIbDTsi5WtZTxYjfrM2nJ&#10;jqHtq/gJCeMnf8GkIm1Op4dI7hlF4L6nWEvGvzxnAJ9UoA0C9UIEy3frblBtrYsbiGZ1P3fO8FUN&#10;3gvm/BWzGDQogFX0lzhKqZGMHixKKm2//es94NF/eClpMbg5dV+3zApK5HuFyThOJ5Mw6fEyyWZj&#10;XOxjz/qxR22bMw2R0HxkF82A93JvllY3n7GxyxAVLqY4YufU780z368TNp6L5TKCMNuG+Qt1bXig&#10;DuIqvdx6XdaxdUGmXptBPUx3bM+wiWF9Ht8j6uHfZ/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FjQgtEAAAAHAQAADwAAAAAAAAABACAAAAAiAAAAZHJzL2Rvd25yZXYueG1sUEsBAhQAFAAAAAgA&#10;h07iQF9TwgNlAgAAxQQAAA4AAAAAAAAAAQAgAAAAIAEAAGRycy9lMm9Eb2MueG1sUEsFBgAAAAAG&#10;AAYAWQEAAPcFAAAAAA==&#10;">
                <v:fill on="t" focussize="0,0"/>
                <v:stroke weight="0.5pt" color="#000000 [3204]" joinstyle="round"/>
                <v:imagedata o:title=""/>
                <o:lock v:ext="edit" aspectratio="f"/>
                <v:textbox>
                  <w:txbxContent>
                    <w:p/>
                    <w:p>
                      <w:r>
                        <w:rPr>
                          <w:rFonts w:hint="eastAsia"/>
                        </w:rPr>
                        <w:t>新</w:t>
                      </w:r>
                    </w:p>
                    <w:p>
                      <w:r>
                        <w:rPr>
                          <w:rFonts w:hint="eastAsia"/>
                        </w:rPr>
                        <w:t>城</w:t>
                      </w:r>
                    </w:p>
                    <w:p>
                      <w:r>
                        <w:rPr>
                          <w:rFonts w:hint="eastAsia"/>
                        </w:rPr>
                        <w:t>区</w:t>
                      </w:r>
                    </w:p>
                    <w:p>
                      <w:r>
                        <w:rPr>
                          <w:rFonts w:hint="eastAsia"/>
                        </w:rPr>
                        <w:t>突</w:t>
                      </w:r>
                    </w:p>
                    <w:p>
                      <w:r>
                        <w:rPr>
                          <w:rFonts w:hint="eastAsia"/>
                        </w:rPr>
                        <w:t>发</w:t>
                      </w:r>
                    </w:p>
                    <w:p>
                      <w:r>
                        <w:rPr>
                          <w:rFonts w:hint="eastAsia"/>
                        </w:rPr>
                        <w:t>事</w:t>
                      </w:r>
                    </w:p>
                    <w:p>
                      <w:r>
                        <w:rPr>
                          <w:rFonts w:hint="eastAsia"/>
                        </w:rPr>
                        <w:t>件</w:t>
                      </w:r>
                    </w:p>
                    <w:p>
                      <w:r>
                        <w:rPr>
                          <w:rFonts w:hint="eastAsia"/>
                        </w:rPr>
                        <w:t>应</w:t>
                      </w:r>
                    </w:p>
                    <w:p>
                      <w:r>
                        <w:rPr>
                          <w:rFonts w:hint="eastAsia"/>
                        </w:rPr>
                        <w:t>急</w:t>
                      </w:r>
                    </w:p>
                    <w:p>
                      <w:r>
                        <w:rPr>
                          <w:rFonts w:hint="eastAsia"/>
                        </w:rPr>
                        <w:t>预</w:t>
                      </w:r>
                    </w:p>
                    <w:p>
                      <w:r>
                        <w:rPr>
                          <w:rFonts w:hint="eastAsia"/>
                        </w:rPr>
                        <w:t>案</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541655</wp:posOffset>
                </wp:positionH>
                <wp:positionV relativeFrom="paragraph">
                  <wp:posOffset>2653665</wp:posOffset>
                </wp:positionV>
                <wp:extent cx="638810" cy="0"/>
                <wp:effectExtent l="0" t="0" r="0" b="0"/>
                <wp:wrapNone/>
                <wp:docPr id="29" name="直接连接符 29"/>
                <wp:cNvGraphicFramePr/>
                <a:graphic xmlns:a="http://schemas.openxmlformats.org/drawingml/2006/main">
                  <a:graphicData uri="http://schemas.microsoft.com/office/word/2010/wordprocessingShape">
                    <wps:wsp>
                      <wps:cNvCnPr/>
                      <wps:spPr>
                        <a:xfrm>
                          <a:off x="1684655" y="4735195"/>
                          <a:ext cx="638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65pt;margin-top:208.95pt;height:0pt;width:50.3pt;z-index:251666432;mso-width-relative:page;mso-height-relative:page;" filled="f" stroked="t" coordsize="21600,21600" o:gfxdata="UEsDBAoAAAAAAIdO4kAAAAAAAAAAAAAAAAAEAAAAZHJzL1BLAwQUAAAACACHTuJAvsTBGNcAAAAK&#10;AQAADwAAAGRycy9kb3ducmV2LnhtbE2Py07DMBBF90j8gzVIbCpqp6UQ0jhdANmxaaHqdhpPk4h4&#10;nMbuA74eV0KC3TyO7pzJF2fbiSMNvnWsIRkrEMSVMy3XGj7ey7sUhA/IBjvHpOGLPCyK66scM+NO&#10;vKTjKtQihrDPUEMTQp9J6auGLPqx64njbucGiyG2Qy3NgKcYbjs5UepBWmw5Xmiwp+eGqs/VwWrw&#10;5Zr25feoGqnNtHY02b+8vaLWtzeJmoMIdA5/MFz0ozoU0WnrDmy86DSks2kkNdwnj08gLkA6i8X2&#10;dyKLXP5/ofgBUEsDBBQAAAAIAIdO4kAiBM1s6QEAAKcDAAAOAAAAZHJzL2Uyb0RvYy54bWytU82O&#10;0zAQviPxDpbvNG13U9qo6R62Wi4IKgEP4Dp2Ysl/8nib9iV4ASRucOLInbfZ5TEYO9kflsseyMEZ&#10;21++me+byfriaDQ5iADK2ZrOJlNKhOWuUbat6aePV6+WlEBktmHaWVHTkwB6sXn5Yt37Ssxd53Qj&#10;AkESC1Xva9rF6KuiAN4Jw2DivLB4KV0wLOI2tEUTWI/sRhfz6XRR9C40PjguAPB0O1zSkTE8h9BJ&#10;qbjYOn5thI0DaxCaRZQEnfJAN7laKQWP76UEEYmuKSqNecUkGO/TWmzWrGoD853iYwnsOSU80WSY&#10;spj0nmrLIiPXQf1DZRQPDpyME+5MMQjJjqCK2fSJNx865kXWglaDvzcd/h8tf3fYBaKams5XlFhm&#10;sOO3X37efP72+9dXXG9/fCd4gzb1HipEX9pdGHfgdyFpPspg0hvVkCOO1GJ5vihLSk41PX99Vs5W&#10;5WCzOEbCEbA4Wy5n2ACOgNyB4oHDB4hvhDMkBTXVyiYDWMUObyFiXoTeQdKxdVdK69xEbUlf01U5&#10;x8yc4WBKHAgMjUdxYFtKmG5x4nkMmRGcVk36OvFAaPeXOpADS3OSn1QzZvsLllJvGXQDLl+NMG0R&#10;nSwaTEnR3jWn7FU+x/5lvnHW0oA83uevH/6v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MEY&#10;1wAAAAoBAAAPAAAAAAAAAAEAIAAAACIAAABkcnMvZG93bnJldi54bWxQSwECFAAUAAAACACHTuJA&#10;IgTNbOkBAACnAwAADgAAAAAAAAABACAAAAAmAQAAZHJzL2Uyb0RvYy54bWxQSwUGAAAAAAYABgBZ&#10;AQAAgQU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3666490</wp:posOffset>
                </wp:positionH>
                <wp:positionV relativeFrom="paragraph">
                  <wp:posOffset>1457960</wp:posOffset>
                </wp:positionV>
                <wp:extent cx="1666240" cy="447675"/>
                <wp:effectExtent l="4445" t="4445" r="5715" b="5080"/>
                <wp:wrapNone/>
                <wp:docPr id="27" name="文本框 27"/>
                <wp:cNvGraphicFramePr/>
                <a:graphic xmlns:a="http://schemas.openxmlformats.org/drawingml/2006/main">
                  <a:graphicData uri="http://schemas.microsoft.com/office/word/2010/wordprocessingShape">
                    <wps:wsp>
                      <wps:cNvSpPr txBox="1"/>
                      <wps:spPr>
                        <a:xfrm>
                          <a:off x="0" y="0"/>
                          <a:ext cx="166624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部门应急预案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7pt;margin-top:114.8pt;height:35.25pt;width:131.2pt;z-index:251665408;mso-width-relative:page;mso-height-relative:page;" fillcolor="#FFFFFF [3201]" filled="t" stroked="t" coordsize="21600,21600" o:gfxdata="UEsDBAoAAAAAAIdO4kAAAAAAAAAAAAAAAAAEAAAAZHJzL1BLAwQUAAAACACHTuJAwwA+ddgAAAAL&#10;AQAADwAAAGRycy9kb3ducmV2LnhtbE2PwU7DMBBE70j8g7VI3KidBNI2ZFMJJCTEjZILNzfeJhH2&#10;Oordpvw95gTH1T7NvKl3F2fFmeYwekbIVgoEcefNyD1C+/FytwERomajrWdC+KYAu+b6qtaV8Qu/&#10;03kfe5FCOFQaYYhxqqQM3UBOh5WfiNPv6GenYzrnXppZLyncWZkrVUqnR04Ng57oeaDua39yCK/l&#10;U/yk1ryZIi/80spuPtqAeHuTqUcQkS7xD4Zf/aQOTXI6+BObICzCw3p9n1CEPN+WIBKxKbZpzAGh&#10;UCoD2dTy/4bmB1BLAwQUAAAACACHTuJAhYV8K1gCAAC5BAAADgAAAGRycy9lMm9Eb2MueG1srVTN&#10;jtMwEL4j8Q6W7zRt6Q9Um67KVkVIK3algji7jtNY2B5ju03KA7BvwIkLd55rn4Oxk3b/OOyBHJwZ&#10;z+SbmW9mcnbeaEX2wnkJJqeDXp8SYTgU0mxz+vnT6tUbSnxgpmAKjMjpQXh6Pn/54qy2MzGEClQh&#10;HEEQ42e1zWkVgp1lmeeV0Mz3wAqDxhKcZgFVt80Kx2pE1yob9vuTrAZXWAdceI+3y9ZIO0T3HEAo&#10;S8nFEvhOCxNaVCcUC1iSr6T1dJ6yLUvBw1VZehGIyilWGtKJQVDexDObn7HZ1jFbSd6lwJ6TwqOa&#10;NJMGg56gliwwsnPyCZSW3IGHMvQ46KwtJDGCVQz6j7hZV8yKVAtS7e2JdP//YPnH/bUjssjpcEqJ&#10;YRo7fvvz5vbXn9vfPwjeIUG19TP0W1v0DM07aHBsjvceL2PdTel0fGNFBO1I7+FEr2gC4fGjyWQy&#10;HKGJo200mk6m4wiT3X1tnQ/vBWgShZw6bF9ile0vfWhdjy4xmAcli5VUKiluu7lQjuwZtnqVng79&#10;gZsypM7p5PW4n5Af2CL2CWKjGP/6FAGzVQaTjqS0xUcpNJumY2oDxQGJctDOmrd8JRH3kvlwzRwO&#10;FxKA6xeu8CgVYDLQSZRU4L7/6z76Y8/RSkmNw5pT/23HnKBEfTA4DW8Ho8hrSMpoPB2i4u5bNvct&#10;ZqcvAEka4KJbnsToH9RRLB3oL7ilixgVTcxwjJ3TcBQvQrtCuOVcLBbJCefZsnBp1pZH6NgSA4td&#10;gFKm1kWaWm469nCiU/O77Ysrc19PXnd/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wA+ddgA&#10;AAALAQAADwAAAAAAAAABACAAAAAiAAAAZHJzL2Rvd25yZXYueG1sUEsBAhQAFAAAAAgAh07iQIWF&#10;fCtYAgAAuQQAAA4AAAAAAAAAAQAgAAAAJwEAAGRycy9lMm9Eb2MueG1sUEsFBgAAAAAGAAYAWQEA&#10;APEFAAAAAA==&#10;">
                <v:fill on="t" focussize="0,0"/>
                <v:stroke weight="0.5pt" color="#000000 [3204]" joinstyle="round"/>
                <v:imagedata o:title=""/>
                <o:lock v:ext="edit" aspectratio="f"/>
                <v:textbox>
                  <w:txbxContent>
                    <w:p>
                      <w:r>
                        <w:rPr>
                          <w:rFonts w:hint="eastAsia"/>
                        </w:rPr>
                        <w:t>部门应急预案</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3618865</wp:posOffset>
                </wp:positionH>
                <wp:positionV relativeFrom="paragraph">
                  <wp:posOffset>29210</wp:posOffset>
                </wp:positionV>
                <wp:extent cx="1666240" cy="476250"/>
                <wp:effectExtent l="4445" t="4445" r="5715" b="14605"/>
                <wp:wrapNone/>
                <wp:docPr id="25" name="文本框 25"/>
                <wp:cNvGraphicFramePr/>
                <a:graphic xmlns:a="http://schemas.openxmlformats.org/drawingml/2006/main">
                  <a:graphicData uri="http://schemas.microsoft.com/office/word/2010/wordprocessingShape">
                    <wps:wsp>
                      <wps:cNvSpPr txBox="1"/>
                      <wps:spPr>
                        <a:xfrm>
                          <a:off x="0" y="0"/>
                          <a:ext cx="16662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总体应急预案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95pt;margin-top:2.3pt;height:37.5pt;width:131.2pt;z-index:251663360;mso-width-relative:page;mso-height-relative:page;" fillcolor="#FFFFFF [3201]" filled="t" stroked="t" coordsize="21600,21600" o:gfxdata="UEsDBAoAAAAAAIdO4kAAAAAAAAAAAAAAAAAEAAAAZHJzL1BLAwQUAAAACACHTuJAlUPt59UAAAAI&#10;AQAADwAAAGRycy9kb3ducmV2LnhtbE2PwU7DMBBE70j8g7VI3KjTFkwTsqkEEhLiRpsLNzfeJhH2&#10;OrLdpvw95gTH1YzevK23F2fFmUIcPSMsFwUI4s6bkXuEdv96twERk2ajrWdC+KYI2+b6qtaV8TN/&#10;0HmXepEhHCuNMKQ0VVLGbiCn48JPxDk7+uB0ymfopQl6znBn5aoolHR65Lww6IleBuq+dieH8Kae&#10;0ye15t2sV2s/t7ILRxsRb2+WxROIRJf0V4Zf/awOTXY6+BObKCzCgyrLXEW4VyByvskoEAeEx1KB&#10;bGr5/4HmB1BLAwQUAAAACACHTuJANchoVFgCAAC5BAAADgAAAGRycy9lMm9Eb2MueG1srVTNbhMx&#10;EL4j8Q6W73STkKYQdVOFVkFIFa0UEGfH681a+A/byW55AHgDTly481x9Dj57k7S0HHogB2fGM/5m&#10;5puZPT3rtCJb4YO0pqTDowElwnBbSbMu6ccPixevKAmRmYopa0RJb0SgZ7Pnz05bNxUj21hVCU8A&#10;YsK0dSVtYnTTogi8EZqFI+uEgbG2XrMI1a+LyrMW6FoVo8FgUrTWV85bLkLA7UVvpDtE/xRAW9eS&#10;iwvLN1qY2KN6oVhESaGRLtBZzrauBY9XdR1EJKqkqDTmE0Egr9JZzE7ZdO2ZayTfpcCeksKDmjST&#10;BkEPUBcsMrLx8hGUltzbYOt4xK0u+kIyI6hiOHjAzbJhTuRaQHVwB9LD/4Pl77fXnsiqpKNjSgzT&#10;6Pjtj++3P3/f/vpGcAeCWhem8Fs6eMbuje0wNvv7gMtUd1d7nf5REYEd9N4c6BVdJDw9mkwmozFM&#10;HLbxyWR0nPkv7l47H+JbYTVJQkk92pdZZdvLEJEJXPcuKViwSlYLqVRW/Hp1rjzZMrR6kX8pSTz5&#10;y00Z0pZ08hKxH0Ek7APESjH++TEC8JQBbCKlLz5JsVt1O6ZWtroBUd72sxYcX0jgXrIQr5nHcIEA&#10;rF+8wlEri2TsTqKksf7rv+6TP3oOKyUthrWk4cuGeUGJemcwDa+H48RrzMr4+GQExd+3rO5bzEaf&#10;W5A0xKI7nsXkH9VerL3Vn7Cl8xQVJmY4Ypc07sXz2K8QtpyL+Tw7YZ4di5dm6XiCTuQaO99EW8vc&#10;ukRTz82OPUx0bs9u+9LK3Nez190XZ/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UPt59UAAAAI&#10;AQAADwAAAAAAAAABACAAAAAiAAAAZHJzL2Rvd25yZXYueG1sUEsBAhQAFAAAAAgAh07iQDXIaFRY&#10;AgAAuQQAAA4AAAAAAAAAAQAgAAAAJAEAAGRycy9lMm9Eb2MueG1sUEsFBgAAAAAGAAYAWQEAAO4F&#10;AAAAAA==&#10;">
                <v:fill on="t" focussize="0,0"/>
                <v:stroke weight="0.5pt" color="#000000 [3204]" joinstyle="round"/>
                <v:imagedata o:title=""/>
                <o:lock v:ext="edit" aspectratio="f"/>
                <v:textbox>
                  <w:txbxContent>
                    <w:p>
                      <w:r>
                        <w:rPr>
                          <w:rFonts w:hint="eastAsia"/>
                        </w:rPr>
                        <w:t>总体应急预案</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3628390</wp:posOffset>
                </wp:positionH>
                <wp:positionV relativeFrom="paragraph">
                  <wp:posOffset>715010</wp:posOffset>
                </wp:positionV>
                <wp:extent cx="1666240" cy="447675"/>
                <wp:effectExtent l="4445" t="4445" r="5715" b="5080"/>
                <wp:wrapNone/>
                <wp:docPr id="26" name="文本框 26"/>
                <wp:cNvGraphicFramePr/>
                <a:graphic xmlns:a="http://schemas.openxmlformats.org/drawingml/2006/main">
                  <a:graphicData uri="http://schemas.microsoft.com/office/word/2010/wordprocessingShape">
                    <wps:wsp>
                      <wps:cNvSpPr txBox="1"/>
                      <wps:spPr>
                        <a:xfrm>
                          <a:off x="0" y="0"/>
                          <a:ext cx="166624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专项应急预案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7pt;margin-top:56.3pt;height:35.25pt;width:131.2pt;z-index:251664384;mso-width-relative:page;mso-height-relative:page;" fillcolor="#FFFFFF [3201]" filled="t" stroked="t" coordsize="21600,21600" o:gfxdata="UEsDBAoAAAAAAIdO4kAAAAAAAAAAAAAAAAAEAAAAZHJzL1BLAwQUAAAACACHTuJAiJEvFtcAAAAL&#10;AQAADwAAAGRycy9kb3ducmV2LnhtbE2PzU7DMBCE70i8g7VI3KjjGEIU4lQCCQlxo82Fmxtvkwj/&#10;RLbblLdnOcFxZz7NzrTbi7PsjDHNwSsQmwIY+iGY2Y8K+v3rXQ0sZe2NtsGjgm9MsO2ur1rdmLD6&#10;Dzzv8sgoxKdGK5hyXhrO0zCh02kTFvTkHUN0OtMZR26iXincWV4WRcWdnj19mPSCLxMOX7uTU/BW&#10;PedP7M27kaUMa8+HeLRJqdsbUTwBy3jJfzD81qfq0FGnQzh5k5hV8PAo7gklQ5QVMCJqKWnMgZRa&#10;CuBdy/9v6H4AUEsDBBQAAAAIAIdO4kBjPXpaWQIAALkEAAAOAAAAZHJzL2Uyb0RvYy54bWytVM1u&#10;2zAMvg/YOwi6L06yxN2COkXWIsOAYi2QDTsrshwLk0RNUmJ3D7C+wU677L7nynOMkp30b4ce5oNM&#10;ivRH8iPp07NWK7ITzkswBR0NhpQIw6GUZlPQz5+Wr95Q4gMzJVNgREFvhKdn85cvThs7E2OoQZXC&#10;EQQxftbYgtYh2FmWeV4LzfwArDBorMBpFlB1m6x0rEF0rbLxcJhnDbjSOuDCe7y96Iy0R3TPAYSq&#10;klxcAN9qYUKH6oRiAUvytbSezlO2VSV4uKoqLwJRBcVKQzoxCMrreGbzUzbbOGZryfsU2HNSeFST&#10;ZtJg0CPUBQuMbJ18AqUld+ChCgMOOusKSYxgFaPhI25WNbMi1YJUe3sk3f8/WP5xd+2ILAs6zikx&#10;TGPH9z9v97/+7H//IHiHBDXWz9BvZdEztO+gxbE53Hu8jHW3ldPxjRURtCO9N0d6RRsIjx/leT6e&#10;oImjbTI5yU+mESa7+9o6H94L0CQKBXXYvsQq21360LkeXGIwD0qWS6lUUtxmfa4c2TFs9TI9PfoD&#10;N2VIU9D89XSYkB/YIvYRYq0Y//oUAbNVBpOOpHTFRym067Znag3lDRLloJs1b/lSIu4l8+GaORwu&#10;JADXL1zhUSnAZKCXKKnBff/XffTHnqOVkgaHtaD+25Y5QYn6YHAa3o4mkdeQlMn0ZIyKu29Z37eY&#10;rT4HJGmEi255EqN/UAexcqC/4JYuYlQ0McMxdkHDQTwP3QrhlnOxWCQnnGfLwqVZWR6hY0sMLLYB&#10;KplaF2nquOnZw4lOze+3L67MfT153f1x5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JEvFtcA&#10;AAALAQAADwAAAAAAAAABACAAAAAiAAAAZHJzL2Rvd25yZXYueG1sUEsBAhQAFAAAAAgAh07iQGM9&#10;elpZAgAAuQQAAA4AAAAAAAAAAQAgAAAAJgEAAGRycy9lMm9Eb2MueG1sUEsFBgAAAAAGAAYAWQEA&#10;APEFAAAAAA==&#10;">
                <v:fill on="t" focussize="0,0"/>
                <v:stroke weight="0.5pt" color="#000000 [3204]" joinstyle="round"/>
                <v:imagedata o:title=""/>
                <o:lock v:ext="edit" aspectratio="f"/>
                <v:textbox>
                  <w:txbxContent>
                    <w:p>
                      <w:r>
                        <w:rPr>
                          <w:rFonts w:hint="eastAsia"/>
                        </w:rPr>
                        <w:t>专项应急预案</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1209040</wp:posOffset>
                </wp:positionH>
                <wp:positionV relativeFrom="paragraph">
                  <wp:posOffset>515620</wp:posOffset>
                </wp:positionV>
                <wp:extent cx="1666240" cy="789940"/>
                <wp:effectExtent l="4445" t="4445" r="5715" b="5715"/>
                <wp:wrapNone/>
                <wp:docPr id="22" name="文本框 22"/>
                <wp:cNvGraphicFramePr/>
                <a:graphic xmlns:a="http://schemas.openxmlformats.org/drawingml/2006/main">
                  <a:graphicData uri="http://schemas.microsoft.com/office/word/2010/wordprocessingShape">
                    <wps:wsp>
                      <wps:cNvSpPr txBox="1"/>
                      <wps:spPr>
                        <a:xfrm>
                          <a:off x="2665730" y="3082925"/>
                          <a:ext cx="1666240" cy="789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新城区及其部门应急预案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2pt;margin-top:40.6pt;height:62.2pt;width:131.2pt;z-index:251660288;mso-width-relative:page;mso-height-relative:page;" fillcolor="#FFFFFF [3201]" filled="t" stroked="t" coordsize="21600,21600" o:gfxdata="UEsDBAoAAAAAAIdO4kAAAAAAAAAAAAAAAAAEAAAAZHJzL1BLAwQUAAAACACHTuJASfO0itcAAAAK&#10;AQAADwAAAGRycy9kb3ducmV2LnhtbE2Py07DMBBF90j8gzVI7Kgdt41KiFMJJKSKHW027Nx4mkT4&#10;Edlu0/49wwqWV3N059x6e3WWXTCmMXgFxUIAQ98FM/peQXt4f9oAS1l7o23wqOCGCbbN/V2tKxNm&#10;/4mXfe4ZlfhUaQVDzlPFeeoGdDotwoSebqcQnc4UY89N1DOVO8ulECV3evT0YdATvg3Yfe/PTsGu&#10;fM1f2JoPs5TLMLe8iyeblHp8KMQLsIzX/AfDrz6pQ0NOx3D2JjFL+VmsCFWwKSQwAlZrSVuOCqRY&#10;l8Cbmv+f0PwAUEsDBBQAAAAIAIdO4kAYosenZAIAAMUEAAAOAAAAZHJzL2Uyb0RvYy54bWytVM1u&#10;2zAMvg/YOwi6r07cxk2COkXWIsOAYi3QDTsrshwLk0RNUmJ3D7C9wU677L7n6nOMkp3+7tDDclAo&#10;8cNH8iPpk9NOK7ITzkswJR0fjCgRhkMlzaaknz6u3kwp8YGZiikwoqQ3wtPTxetXJ62dixwaUJVw&#10;BEmMn7e2pE0Idp5lnjdCM38AVhh01uA0C3h1m6xyrEV2rbJ8NCqyFlxlHXDhPb6e9046MLqXEEJd&#10;Sy7OgW+1MKFndUKxgCX5RlpPFynbuhY8XNa1F4GokmKlIZ0YBO11PLPFCZtvHLON5EMK7CUpPKlJ&#10;M2kw6B3VOQuMbJ18RqUld+ChDgccdNYXkhTBKsajJ9pcN8yKVAtK7e2d6P7/0fIPuytHZFXSPKfE&#10;MI0dv/354/bXn9vf3wm+oUCt9XPEXVtEhu4tdDg2+3ePj7HurnY6/mNFBP15UUyOD1Hkm5Iejqb5&#10;LJ/0UosuEB4JiqLIjxDAEXE8nc3QxlDZPZN1PrwToEk0SuqwlUlhtrvwoYfuITGwByWrlVQqXdxm&#10;faYc2TFs+yr9BvZHMGVIW9LicDJKzI98kfuOYq0Y//KcAbNVBpOOAvVCRCt0625QbQ3VDYrmoJ87&#10;b/lKIu8F8+GKORw0FABXMVziUSvAZGCwKGnAffvXe8Rj/9FLSYuDW1L/dcucoES9NzgZs/FR1DWk&#10;y9HkOMeLe+hZP/SYrT4DFGmMS295MiM+qL1ZO9CfcWOXMSq6mOEYu6Rhb56Ffp1w47lYLhMIZ9uy&#10;cGGuLY/UsSUGltsAtUytizL12gzq4XSn5g+bGNfn4T2h7r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J87SK1wAAAAoBAAAPAAAAAAAAAAEAIAAAACIAAABkcnMvZG93bnJldi54bWxQSwECFAAU&#10;AAAACACHTuJAGKLHp2QCAADFBAAADgAAAAAAAAABACAAAAAmAQAAZHJzL2Uyb0RvYy54bWxQSwUG&#10;AAAAAAYABgBZAQAA/AUAAAAA&#10;">
                <v:fill on="t" focussize="0,0"/>
                <v:stroke weight="0.5pt" color="#000000 [3204]" joinstyle="round"/>
                <v:imagedata o:title=""/>
                <o:lock v:ext="edit" aspectratio="f"/>
                <v:textbox>
                  <w:txbxContent>
                    <w:p>
                      <w:r>
                        <w:rPr>
                          <w:rFonts w:hint="eastAsia"/>
                        </w:rPr>
                        <w:t>新城区及其部门应急预案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1180465</wp:posOffset>
                </wp:positionH>
                <wp:positionV relativeFrom="paragraph">
                  <wp:posOffset>2258695</wp:posOffset>
                </wp:positionV>
                <wp:extent cx="1666240" cy="789940"/>
                <wp:effectExtent l="4445" t="4445" r="5715" b="5715"/>
                <wp:wrapNone/>
                <wp:docPr id="23" name="文本框 23"/>
                <wp:cNvGraphicFramePr/>
                <a:graphic xmlns:a="http://schemas.openxmlformats.org/drawingml/2006/main">
                  <a:graphicData uri="http://schemas.microsoft.com/office/word/2010/wordprocessingShape">
                    <wps:wsp>
                      <wps:cNvSpPr txBox="1"/>
                      <wps:spPr>
                        <a:xfrm>
                          <a:off x="0" y="0"/>
                          <a:ext cx="1666240" cy="789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单位和基层组织应急预案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95pt;margin-top:177.85pt;height:62.2pt;width:131.2pt;z-index:251661312;mso-width-relative:page;mso-height-relative:page;" fillcolor="#FFFFFF [3201]" filled="t" stroked="t" coordsize="21600,21600" o:gfxdata="UEsDBAoAAAAAAIdO4kAAAAAAAAAAAAAAAAAEAAAAZHJzL1BLAwQUAAAACACHTuJABZ6QRtcAAAAL&#10;AQAADwAAAGRycy9kb3ducmV2LnhtbE2PwU7DMAyG70i8Q2Qkbizpuo5Smk4CCQlxY/TCLWu8tiJx&#10;qiZbx9tjTnDzL3/6/bneXbwTZ5zjGEhDtlIgkLpgR+o1tB8vdyWImAxZ4wKhhm+MsGuur2pT2bDQ&#10;O573qRdcQrEyGoaUpkrK2A3oTVyFCYl3xzB7kzjOvbSzWbjcO7lWaiu9GYkvDGbC5wG7r/3Ja3jd&#10;PqVPbO2bzdd5WFrZzUcXtb69ydQjiISX9AfDrz6rQ8NOh3AiG4XjXBYPjGrIi+IeBBObTZmDOPBQ&#10;qgxkU8v/PzQ/UEsDBBQAAAAIAIdO4kDVlzmiWAIAALkEAAAOAAAAZHJzL2Uyb0RvYy54bWytVM1u&#10;2zAMvg/YOwi6r07SNG2DOEWWIsOAYi2QDTsrshwLk0RNUmJnD7C9wU677L7nynOMkp30b4ce5oNM&#10;ivRH8iPpyVWjFdkK5yWYnPZPepQIw6GQZp3TTx8Xby4o8YGZgikwIqc74enV9PWrSW3HYgAVqEI4&#10;giDGj2ub0yoEO84yzyuhmT8BKwwaS3CaBVTdOiscqxFdq2zQ642yGlxhHXDhPd5et0baIbqXAEJZ&#10;Si6ugW+0MKFFdUKxgCX5SlpPpynbshQ83JalF4GonGKlIZ0YBOVVPLPphI3XjtlK8i4F9pIUntSk&#10;mTQY9Ah1zQIjGyefQWnJHXgowwkHnbWFJEawin7vCTfLilmRakGqvT2S7v8fLP+wvXNEFjkdnFJi&#10;mMaO73/+2P/6s//9neAdElRbP0a/pUXP0LyFBsfmcO/xMtbdlE7HN1ZE0I707o70iiYQHj8ajUaD&#10;IZo42s4vLi9RRvjs/mvrfHgnQJMo5NRh+xKrbHvjQ+t6cInBPChZLKRSSXHr1Vw5smXY6kV6OvRH&#10;bsqQOqej07NeQn5ki9hHiJVi/MtzBMxWGUw6ktIWH6XQrJqOqRUUOyTKQTtr3vKFRNwb5sMdczhc&#10;SACuX7jFo1SAyUAnUVKB+/av++iPPUcrJTUOa0791w1zghL13uA0XPaHkdeQlOHZ+QAV99Cyemgx&#10;Gz0HJKmPi255EqN/UAexdKA/45bOYlQ0McMxdk7DQZyHdoVwy7mYzZITzrNl4cYsLY/QsSUGZpsA&#10;pUytizS13HTs4USn5nfbF1fmoZ687v84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npBG1wAA&#10;AAsBAAAPAAAAAAAAAAEAIAAAACIAAABkcnMvZG93bnJldi54bWxQSwECFAAUAAAACACHTuJA1Zc5&#10;olgCAAC5BAAADgAAAAAAAAABACAAAAAmAQAAZHJzL2Uyb0RvYy54bWxQSwUGAAAAAAYABgBZAQAA&#10;8AUAAAAA&#10;">
                <v:fill on="t" focussize="0,0"/>
                <v:stroke weight="0.5pt" color="#000000 [3204]" joinstyle="round"/>
                <v:imagedata o:title=""/>
                <o:lock v:ext="edit" aspectratio="f"/>
                <v:textbox>
                  <w:txbxContent>
                    <w:p>
                      <w:r>
                        <w:rPr>
                          <w:rFonts w:hint="eastAsia"/>
                        </w:rPr>
                        <w:t>单位和基层组织应急预案</w:t>
                      </w:r>
                    </w:p>
                  </w:txbxContent>
                </v:textbox>
              </v:shape>
            </w:pict>
          </mc:Fallback>
        </mc:AlternateContent>
      </w:r>
      <w:r>
        <w:br w:type="page"/>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199" w:name="_Toc22127"/>
      <w:r>
        <w:rPr>
          <w:rFonts w:hint="eastAsia"/>
        </w:rPr>
        <w:t>附件2 新城区突发事件应急预案编制牵头部门</w:t>
      </w:r>
      <w:bookmarkEnd w:id="199"/>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673"/>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817"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序号</w:t>
            </w:r>
          </w:p>
        </w:tc>
        <w:tc>
          <w:tcPr>
            <w:tcW w:w="4382" w:type="dxa"/>
            <w:gridSpan w:val="2"/>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预案名称</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牵头编制部门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4"/>
            <w:shd w:val="clear" w:color="auto" w:fill="D8D8D8" w:themeFill="background1" w:themeFillShade="D9"/>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b/>
                <w:sz w:val="18"/>
                <w:szCs w:val="18"/>
              </w:rPr>
              <w:t>总体应急预案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4382" w:type="dxa"/>
            <w:gridSpan w:val="2"/>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新城区突发事件总体应急预案</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4"/>
            <w:shd w:val="clear" w:color="auto" w:fill="D8D8D8" w:themeFill="background1" w:themeFillShade="D9"/>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b/>
                <w:sz w:val="18"/>
                <w:szCs w:val="18"/>
              </w:rPr>
              <w:t>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restart"/>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自</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然</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灾</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害</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类</w:t>
            </w: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自然灾害救助</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应急管理局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水旱灾害</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应急管理局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农牧水利局（水利、农业）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地震灾害</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应急管理局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地震局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森林草原火灾</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应急管理局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val="en-US" w:eastAsia="zh-CN"/>
              </w:rPr>
              <w:t>林业和草原</w:t>
            </w:r>
            <w:r>
              <w:rPr>
                <w:rFonts w:hint="eastAsia" w:ascii="仿宋" w:hAnsi="仿宋" w:eastAsia="仿宋" w:cs="仿宋"/>
                <w:sz w:val="18"/>
                <w:szCs w:val="18"/>
              </w:rPr>
              <w:t>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保合少镇</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成吉思汗大街街道</w:t>
            </w:r>
            <w:r>
              <w:rPr>
                <w:rFonts w:hint="eastAsia" w:ascii="仿宋" w:hAnsi="仿宋" w:eastAsia="仿宋" w:cs="仿宋"/>
                <w:sz w:val="18"/>
                <w:szCs w:val="18"/>
                <w:lang w:val="en-US" w:eastAsia="zh-CN"/>
              </w:rPr>
              <w:t>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低温雨雪冰冻灾害</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应急管理局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气象分局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农牧水利局（水利、农业、交通）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城市管理综合执法局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环境卫生服务中心</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气象灾害</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应急管理局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气象分局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生物灾害</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农牧水利局（农业）、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val="en-US" w:eastAsia="zh-CN"/>
              </w:rPr>
              <w:t>林业和草原</w:t>
            </w:r>
            <w:r>
              <w:rPr>
                <w:rFonts w:hint="eastAsia" w:ascii="仿宋" w:hAnsi="仿宋" w:eastAsia="仿宋" w:cs="仿宋"/>
                <w:sz w:val="18"/>
                <w:szCs w:val="18"/>
              </w:rPr>
              <w:t>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保合少镇</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成吉思汗大街街道</w:t>
            </w:r>
            <w:r>
              <w:rPr>
                <w:rFonts w:hint="eastAsia" w:ascii="仿宋" w:hAnsi="仿宋" w:eastAsia="仿宋" w:cs="仿宋"/>
                <w:sz w:val="18"/>
                <w:szCs w:val="18"/>
                <w:lang w:val="en-US" w:eastAsia="zh-CN"/>
              </w:rPr>
              <w:t>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restart"/>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事</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故</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灾</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难</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类</w:t>
            </w: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危险化学品生产安全事故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应急管理局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工贸行业生产安全事故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应急管理局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大面积停电事件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新城供电分</w:t>
            </w:r>
            <w:r>
              <w:rPr>
                <w:rFonts w:hint="eastAsia" w:ascii="仿宋" w:hAnsi="仿宋" w:eastAsia="仿宋" w:cs="仿宋"/>
                <w:sz w:val="18"/>
                <w:szCs w:val="18"/>
                <w:lang w:val="en-US" w:eastAsia="zh-CN"/>
              </w:rPr>
              <w:t>分公司</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鸿盛供电分</w:t>
            </w:r>
            <w:r>
              <w:rPr>
                <w:rFonts w:hint="eastAsia" w:ascii="仿宋" w:hAnsi="仿宋" w:eastAsia="仿宋" w:cs="仿宋"/>
                <w:sz w:val="18"/>
                <w:szCs w:val="18"/>
                <w:lang w:val="en-US" w:eastAsia="zh-CN"/>
              </w:rPr>
              <w:t>分公司</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重污染天气事件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生态环境分局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环境污染事件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生态环境分局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生态环境破坏事件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生态环境分局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通信网络事故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工业和信息化局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各运营商牵头</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道路交通事故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农牧水利局（交通）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区交管大队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建筑工程事故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住房和城乡建设局 各相关企业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供水、供热事故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住房和城乡建设局 各相关企业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燃气事故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住房和城乡建设局 燃气公司</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特种设备事故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市场监督管理局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restart"/>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公</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共</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卫</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生</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类</w:t>
            </w: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传染病疫情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卫生健康</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流感大流行事件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卫生健康</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群体性不明原因疫情</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卫生健康</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急性中毒事件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卫生健康</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动物疫情</w:t>
            </w:r>
          </w:p>
        </w:tc>
        <w:tc>
          <w:tcPr>
            <w:tcW w:w="3323" w:type="dxa"/>
            <w:vAlign w:val="center"/>
          </w:tcPr>
          <w:p>
            <w:pPr>
              <w:pStyle w:val="8"/>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农牧水利局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食品安全事件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市场监督管理局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疫苗药品安全事件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 xml:space="preserve">市场监督管理局 </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卫生健康</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医疗器械安全事件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市场监督管理局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卫生健康</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restart"/>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社</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安</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全</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类</w:t>
            </w: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突发粮食事件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发展</w:t>
            </w:r>
            <w:r>
              <w:rPr>
                <w:rFonts w:hint="eastAsia" w:ascii="仿宋" w:hAnsi="仿宋" w:eastAsia="仿宋" w:cs="仿宋"/>
                <w:sz w:val="18"/>
                <w:szCs w:val="18"/>
                <w:lang w:val="en-US" w:eastAsia="zh-CN"/>
              </w:rPr>
              <w:t>和</w:t>
            </w:r>
            <w:r>
              <w:rPr>
                <w:rFonts w:hint="eastAsia" w:ascii="仿宋" w:hAnsi="仿宋" w:eastAsia="仿宋" w:cs="仿宋"/>
                <w:sz w:val="18"/>
                <w:szCs w:val="18"/>
              </w:rPr>
              <w:t>改革</w:t>
            </w:r>
            <w:r>
              <w:rPr>
                <w:rFonts w:hint="eastAsia" w:ascii="仿宋" w:hAnsi="仿宋" w:eastAsia="仿宋" w:cs="仿宋"/>
                <w:sz w:val="18"/>
                <w:szCs w:val="18"/>
                <w:lang w:val="en-US" w:eastAsia="zh-CN"/>
              </w:rPr>
              <w:t>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大规模群体性事件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公安分局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恐怖袭击事件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公安分局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刑事案件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公安分局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涉外突发事件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统战部</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民族宗教事件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民族事务</w:t>
            </w:r>
            <w:r>
              <w:rPr>
                <w:rFonts w:hint="eastAsia" w:ascii="仿宋" w:hAnsi="仿宋" w:eastAsia="仿宋" w:cs="仿宋"/>
                <w:sz w:val="18"/>
                <w:szCs w:val="18"/>
                <w:lang w:val="en-US" w:eastAsia="zh-CN"/>
              </w:rPr>
              <w:t>委员会</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舆情突发事件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区委宣传部</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公安分局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网络安全事件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区委宣传部</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公安分局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709" w:type="dxa"/>
            <w:vMerge w:val="continue"/>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p>
        </w:tc>
        <w:tc>
          <w:tcPr>
            <w:tcW w:w="3673" w:type="dxa"/>
            <w:vAlign w:val="center"/>
          </w:tcPr>
          <w:p>
            <w:pPr>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18"/>
                <w:szCs w:val="18"/>
              </w:rPr>
            </w:pPr>
            <w:r>
              <w:rPr>
                <w:rFonts w:hint="eastAsia" w:ascii="仿宋" w:hAnsi="仿宋" w:eastAsia="仿宋" w:cs="仿宋"/>
                <w:sz w:val="18"/>
                <w:szCs w:val="18"/>
              </w:rPr>
              <w:t>金融突发事件</w:t>
            </w:r>
          </w:p>
        </w:tc>
        <w:tc>
          <w:tcPr>
            <w:tcW w:w="3323" w:type="dxa"/>
            <w:vAlign w:val="center"/>
          </w:tcPr>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rPr>
              <w:t>财政局</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rPr>
              <w:t>金融</w:t>
            </w:r>
            <w:r>
              <w:rPr>
                <w:rFonts w:hint="eastAsia" w:ascii="仿宋" w:hAnsi="仿宋" w:eastAsia="仿宋" w:cs="仿宋"/>
                <w:sz w:val="18"/>
                <w:szCs w:val="18"/>
                <w:lang w:val="en-US" w:eastAsia="zh-CN"/>
              </w:rPr>
              <w:t>办公室</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z w:val="18"/>
                <w:szCs w:val="18"/>
              </w:rPr>
            </w:pPr>
            <w:r>
              <w:rPr>
                <w:rFonts w:hint="eastAsia" w:ascii="仿宋" w:hAnsi="仿宋" w:eastAsia="仿宋" w:cs="仿宋"/>
                <w:sz w:val="18"/>
                <w:szCs w:val="18"/>
                <w:lang w:eastAsia="zh-CN"/>
              </w:rPr>
              <w:t>镇（街道）办事处、区域服务中心</w:t>
            </w:r>
          </w:p>
        </w:tc>
      </w:tr>
    </w:tbl>
    <w:p>
      <w:pPr>
        <w:pageBreakBefore w:val="0"/>
        <w:widowControl w:val="0"/>
        <w:kinsoku/>
        <w:wordWrap/>
        <w:overflowPunct/>
        <w:topLinePunct w:val="0"/>
        <w:autoSpaceDE/>
        <w:autoSpaceDN/>
        <w:bidi w:val="0"/>
        <w:adjustRightInd w:val="0"/>
        <w:snapToGrid w:val="0"/>
        <w:spacing w:line="360" w:lineRule="auto"/>
        <w:textAlignment w:val="auto"/>
        <w:sectPr>
          <w:footerReference r:id="rId4" w:type="default"/>
          <w:pgSz w:w="11906" w:h="16838"/>
          <w:pgMar w:top="1440" w:right="1797" w:bottom="1440" w:left="1797" w:header="851" w:footer="992" w:gutter="0"/>
          <w:pgNumType w:fmt="decimal" w:start="1"/>
          <w:cols w:space="425" w:num="1"/>
          <w:docGrid w:type="linesAndChars" w:linePitch="312" w:charSpace="0"/>
        </w:sectPr>
      </w:pP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rPr>
      </w:pPr>
      <w:bookmarkStart w:id="200" w:name="_Toc14284"/>
      <w:r>
        <w:rPr>
          <w:rFonts w:hint="eastAsia"/>
        </w:rPr>
        <w:t>附件3 新城区突发事件应急工作流程示意图</w:t>
      </w:r>
      <w:bookmarkEnd w:id="200"/>
    </w:p>
    <w:p>
      <w:pPr>
        <w:pageBreakBefore w:val="0"/>
        <w:widowControl w:val="0"/>
        <w:kinsoku/>
        <w:wordWrap/>
        <w:overflowPunct/>
        <w:topLinePunct w:val="0"/>
        <w:autoSpaceDE/>
        <w:autoSpaceDN/>
        <w:bidi w:val="0"/>
        <w:adjustRightInd w:val="0"/>
        <w:snapToGrid w:val="0"/>
        <w:spacing w:line="360" w:lineRule="auto"/>
        <w:jc w:val="center"/>
        <w:textAlignment w:val="auto"/>
      </w:pPr>
      <w:r>
        <w:rPr>
          <w:rFonts w:hint="eastAsia"/>
        </w:rPr>
        <w:drawing>
          <wp:inline distT="0" distB="0" distL="114300" distR="114300">
            <wp:extent cx="5276215" cy="5894705"/>
            <wp:effectExtent l="0" t="0" r="0" b="0"/>
            <wp:docPr id="5" name="图片 5" descr="鄂尔多斯市应急响应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尔多斯市应急响应流程图"/>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5276215" cy="5894705"/>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line="360" w:lineRule="auto"/>
        <w:jc w:val="left"/>
        <w:textAlignment w:val="auto"/>
        <w:sectPr>
          <w:pgSz w:w="11906" w:h="16838"/>
          <w:pgMar w:top="1440" w:right="1797" w:bottom="1440" w:left="1797" w:header="851" w:footer="992" w:gutter="0"/>
          <w:pgNumType w:fmt="decimal"/>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eastAsia="黑体"/>
          <w:lang w:eastAsia="zh-CN"/>
        </w:rPr>
      </w:pPr>
      <w:bookmarkStart w:id="201" w:name="_Toc18413"/>
      <w:r>
        <w:rPr>
          <w:rFonts w:hint="eastAsia"/>
        </w:rPr>
        <w:t>附件4 新城区应急管理专家组名单</w:t>
      </w:r>
      <w:bookmarkEnd w:id="201"/>
      <w:r>
        <w:rPr>
          <w:rFonts w:hint="eastAsia"/>
          <w:lang w:eastAsia="zh-CN"/>
        </w:rPr>
        <w:t>（</w:t>
      </w:r>
      <w:r>
        <w:rPr>
          <w:rFonts w:hint="eastAsia"/>
          <w:lang w:val="en-US" w:eastAsia="zh-CN"/>
        </w:rPr>
        <w:t>略</w:t>
      </w:r>
      <w:r>
        <w:rPr>
          <w:rFonts w:hint="eastAsia"/>
          <w:lang w:eastAsia="zh-CN"/>
        </w:rPr>
        <w:t>）</w:t>
      </w:r>
    </w:p>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lang w:val="en-US" w:eastAsia="zh-CN"/>
        </w:rPr>
      </w:pPr>
      <w:bookmarkStart w:id="202" w:name="_Toc7887"/>
      <w:bookmarkStart w:id="203" w:name="_GoBack"/>
      <w:bookmarkEnd w:id="203"/>
      <w:r>
        <w:rPr>
          <w:rFonts w:hint="eastAsia"/>
        </w:rPr>
        <w:t>附件</w:t>
      </w:r>
      <w:r>
        <w:rPr>
          <w:rFonts w:hint="eastAsia"/>
          <w:lang w:val="en-US" w:eastAsia="zh-CN"/>
        </w:rPr>
        <w:t>5</w:t>
      </w:r>
      <w:r>
        <w:rPr>
          <w:rFonts w:hint="eastAsia"/>
        </w:rPr>
        <w:t xml:space="preserve"> </w:t>
      </w:r>
      <w:r>
        <w:rPr>
          <w:rFonts w:hint="eastAsia"/>
          <w:lang w:val="en-US" w:eastAsia="zh-CN"/>
        </w:rPr>
        <w:t>专家评审意见</w:t>
      </w:r>
      <w:bookmarkEnd w:id="202"/>
    </w:p>
    <w:p>
      <w:pPr>
        <w:pStyle w:val="5"/>
        <w:pageBreakBefore w:val="0"/>
        <w:widowControl w:val="0"/>
        <w:kinsoku/>
        <w:wordWrap/>
        <w:overflowPunct/>
        <w:topLinePunct w:val="0"/>
        <w:autoSpaceDE/>
        <w:autoSpaceDN/>
        <w:bidi w:val="0"/>
        <w:spacing w:line="360" w:lineRule="auto"/>
        <w:jc w:val="center"/>
        <w:textAlignment w:val="auto"/>
        <w:rPr>
          <w:rFonts w:hint="default"/>
          <w:lang w:val="en-US" w:eastAsia="zh-CN"/>
        </w:rPr>
      </w:pPr>
      <w:r>
        <w:drawing>
          <wp:inline distT="0" distB="0" distL="114300" distR="114300">
            <wp:extent cx="4655820" cy="7152640"/>
            <wp:effectExtent l="0" t="0" r="762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rcRect l="7655" r="7003"/>
                    <a:stretch>
                      <a:fillRect/>
                    </a:stretch>
                  </pic:blipFill>
                  <pic:spPr>
                    <a:xfrm>
                      <a:off x="0" y="0"/>
                      <a:ext cx="4655820" cy="7152640"/>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pPr>
      <w:r>
        <w:br w:type="page"/>
      </w:r>
    </w:p>
    <w:p>
      <w:pPr>
        <w:pageBreakBefore w:val="0"/>
        <w:widowControl w:val="0"/>
        <w:kinsoku/>
        <w:wordWrap/>
        <w:overflowPunct/>
        <w:topLinePunct w:val="0"/>
        <w:autoSpaceDE/>
        <w:autoSpaceDN/>
        <w:bidi w:val="0"/>
        <w:adjustRightInd w:val="0"/>
        <w:snapToGrid w:val="0"/>
        <w:spacing w:line="360" w:lineRule="auto"/>
        <w:jc w:val="center"/>
        <w:textAlignment w:val="auto"/>
      </w:pPr>
      <w:r>
        <w:drawing>
          <wp:inline distT="0" distB="0" distL="114300" distR="114300">
            <wp:extent cx="5687060" cy="8458835"/>
            <wp:effectExtent l="0" t="0" r="12700"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687060" cy="8458835"/>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pPr>
      <w:r>
        <w:br w:type="page"/>
      </w:r>
    </w:p>
    <w:p>
      <w:pPr>
        <w:pageBreakBefore w:val="0"/>
        <w:widowControl w:val="0"/>
        <w:kinsoku/>
        <w:wordWrap/>
        <w:overflowPunct/>
        <w:topLinePunct w:val="0"/>
        <w:autoSpaceDE/>
        <w:autoSpaceDN/>
        <w:bidi w:val="0"/>
        <w:adjustRightInd w:val="0"/>
        <w:snapToGrid w:val="0"/>
        <w:spacing w:line="360" w:lineRule="auto"/>
        <w:jc w:val="center"/>
        <w:textAlignment w:val="auto"/>
      </w:pPr>
      <w:r>
        <w:drawing>
          <wp:inline distT="0" distB="0" distL="114300" distR="114300">
            <wp:extent cx="5614670" cy="8173085"/>
            <wp:effectExtent l="0" t="0" r="8890" b="1079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614670" cy="8173085"/>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pPr>
      <w:r>
        <w:br w:type="page"/>
      </w:r>
    </w:p>
    <w:p>
      <w:pPr>
        <w:pageBreakBefore w:val="0"/>
        <w:widowControl w:val="0"/>
        <w:kinsoku/>
        <w:wordWrap/>
        <w:overflowPunct/>
        <w:topLinePunct w:val="0"/>
        <w:autoSpaceDE/>
        <w:autoSpaceDN/>
        <w:bidi w:val="0"/>
        <w:adjustRightInd w:val="0"/>
        <w:snapToGrid w:val="0"/>
        <w:spacing w:line="360" w:lineRule="auto"/>
        <w:jc w:val="both"/>
        <w:textAlignment w:val="auto"/>
      </w:pPr>
      <w:r>
        <w:drawing>
          <wp:inline distT="0" distB="0" distL="114300" distR="114300">
            <wp:extent cx="5358130" cy="5737860"/>
            <wp:effectExtent l="0" t="0" r="635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358130" cy="5737860"/>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rPr>
          <w:sz w:val="28"/>
        </w:rPr>
      </w:pPr>
      <w:r>
        <w:rPr>
          <w:sz w:val="28"/>
        </w:rPr>
        <w:br w:type="page"/>
      </w:r>
    </w:p>
    <w:p>
      <w:pPr>
        <w:pageBreakBefore w:val="0"/>
        <w:widowControl w:val="0"/>
        <w:kinsoku/>
        <w:wordWrap/>
        <w:overflowPunct/>
        <w:topLinePunct w:val="0"/>
        <w:autoSpaceDE/>
        <w:autoSpaceDN/>
        <w:bidi w:val="0"/>
        <w:adjustRightInd w:val="0"/>
        <w:snapToGrid w:val="0"/>
        <w:spacing w:line="360" w:lineRule="auto"/>
        <w:jc w:val="center"/>
        <w:textAlignment w:val="auto"/>
      </w:pPr>
      <w:r>
        <w:drawing>
          <wp:inline distT="0" distB="0" distL="114300" distR="114300">
            <wp:extent cx="5679440" cy="8016240"/>
            <wp:effectExtent l="0" t="0" r="508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679440" cy="8016240"/>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pPr>
      <w:r>
        <w:br w:type="page"/>
      </w:r>
    </w:p>
    <w:p>
      <w:pPr>
        <w:pageBreakBefore w:val="0"/>
        <w:widowControl w:val="0"/>
        <w:kinsoku/>
        <w:wordWrap/>
        <w:overflowPunct/>
        <w:topLinePunct w:val="0"/>
        <w:autoSpaceDE/>
        <w:autoSpaceDN/>
        <w:bidi w:val="0"/>
        <w:adjustRightInd w:val="0"/>
        <w:snapToGrid w:val="0"/>
        <w:spacing w:line="360" w:lineRule="auto"/>
        <w:jc w:val="center"/>
        <w:textAlignment w:val="auto"/>
      </w:pPr>
      <w:r>
        <w:drawing>
          <wp:inline distT="0" distB="0" distL="114300" distR="114300">
            <wp:extent cx="5361940" cy="8012430"/>
            <wp:effectExtent l="0" t="0" r="2540"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361940" cy="8012430"/>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pPr>
      <w:r>
        <w:br w:type="page"/>
      </w:r>
    </w:p>
    <w:p>
      <w:pPr>
        <w:pageBreakBefore w:val="0"/>
        <w:widowControl w:val="0"/>
        <w:kinsoku/>
        <w:wordWrap/>
        <w:overflowPunct/>
        <w:topLinePunct w:val="0"/>
        <w:autoSpaceDE/>
        <w:autoSpaceDN/>
        <w:bidi w:val="0"/>
        <w:adjustRightInd w:val="0"/>
        <w:snapToGrid w:val="0"/>
        <w:spacing w:line="360" w:lineRule="auto"/>
        <w:jc w:val="center"/>
        <w:textAlignment w:val="auto"/>
      </w:pPr>
      <w:r>
        <w:drawing>
          <wp:inline distT="0" distB="0" distL="114300" distR="114300">
            <wp:extent cx="4990465" cy="5448300"/>
            <wp:effectExtent l="0" t="0" r="825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4990465" cy="5448300"/>
                    </a:xfrm>
                    <a:prstGeom prst="rect">
                      <a:avLst/>
                    </a:prstGeom>
                    <a:noFill/>
                    <a:ln>
                      <a:noFill/>
                    </a:ln>
                  </pic:spPr>
                </pic:pic>
              </a:graphicData>
            </a:graphic>
          </wp:inline>
        </w:drawing>
      </w:r>
    </w:p>
    <w:sectPr>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t>—</w:t>
                    </w:r>
                  </w:p>
                </w:txbxContent>
              </v:textbox>
            </v:shape>
          </w:pict>
        </mc:Fallback>
      </mc:AlternateContent>
    </w: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485CBC"/>
    <w:multiLevelType w:val="singleLevel"/>
    <w:tmpl w:val="E1485CBC"/>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5OTIxZjY2YjYzY2UzMWE0MGM3NzM4OTU5NzQzZDAifQ=="/>
  </w:docVars>
  <w:rsids>
    <w:rsidRoot w:val="00084FC9"/>
    <w:rsid w:val="00005282"/>
    <w:rsid w:val="00021C4D"/>
    <w:rsid w:val="000270F4"/>
    <w:rsid w:val="00030326"/>
    <w:rsid w:val="00031160"/>
    <w:rsid w:val="000321C9"/>
    <w:rsid w:val="000431DC"/>
    <w:rsid w:val="00046768"/>
    <w:rsid w:val="00047936"/>
    <w:rsid w:val="000534BA"/>
    <w:rsid w:val="00057509"/>
    <w:rsid w:val="00066CC2"/>
    <w:rsid w:val="00080D11"/>
    <w:rsid w:val="00080FFB"/>
    <w:rsid w:val="00084FC9"/>
    <w:rsid w:val="00085984"/>
    <w:rsid w:val="000918A2"/>
    <w:rsid w:val="000921B5"/>
    <w:rsid w:val="00093627"/>
    <w:rsid w:val="00096C03"/>
    <w:rsid w:val="000B2DD1"/>
    <w:rsid w:val="000B318B"/>
    <w:rsid w:val="000B5A81"/>
    <w:rsid w:val="000B782D"/>
    <w:rsid w:val="00101725"/>
    <w:rsid w:val="00142DC8"/>
    <w:rsid w:val="0016318D"/>
    <w:rsid w:val="00174142"/>
    <w:rsid w:val="00180152"/>
    <w:rsid w:val="00180297"/>
    <w:rsid w:val="00183BDB"/>
    <w:rsid w:val="00193646"/>
    <w:rsid w:val="00194965"/>
    <w:rsid w:val="001B5537"/>
    <w:rsid w:val="001C25EB"/>
    <w:rsid w:val="001C2C73"/>
    <w:rsid w:val="001C739D"/>
    <w:rsid w:val="001D5E1D"/>
    <w:rsid w:val="001D657C"/>
    <w:rsid w:val="001E1CFE"/>
    <w:rsid w:val="001E351F"/>
    <w:rsid w:val="001E3BDE"/>
    <w:rsid w:val="001E7138"/>
    <w:rsid w:val="0020300E"/>
    <w:rsid w:val="00204F26"/>
    <w:rsid w:val="00216E55"/>
    <w:rsid w:val="00233DCC"/>
    <w:rsid w:val="00242691"/>
    <w:rsid w:val="00244055"/>
    <w:rsid w:val="00246D63"/>
    <w:rsid w:val="00250009"/>
    <w:rsid w:val="00272920"/>
    <w:rsid w:val="00280CD8"/>
    <w:rsid w:val="00281A84"/>
    <w:rsid w:val="00294FAA"/>
    <w:rsid w:val="002A4C82"/>
    <w:rsid w:val="002B6FAF"/>
    <w:rsid w:val="002C0495"/>
    <w:rsid w:val="002C11EF"/>
    <w:rsid w:val="002C65D9"/>
    <w:rsid w:val="002D06AE"/>
    <w:rsid w:val="002D43C7"/>
    <w:rsid w:val="002E1CAE"/>
    <w:rsid w:val="002E29D9"/>
    <w:rsid w:val="002F2474"/>
    <w:rsid w:val="002F4C7A"/>
    <w:rsid w:val="003116B5"/>
    <w:rsid w:val="00312071"/>
    <w:rsid w:val="0031470A"/>
    <w:rsid w:val="003176B0"/>
    <w:rsid w:val="00324791"/>
    <w:rsid w:val="00332095"/>
    <w:rsid w:val="00342E08"/>
    <w:rsid w:val="00356609"/>
    <w:rsid w:val="00366AF6"/>
    <w:rsid w:val="003705D3"/>
    <w:rsid w:val="00392057"/>
    <w:rsid w:val="0039302E"/>
    <w:rsid w:val="003B6BCA"/>
    <w:rsid w:val="003C6CEA"/>
    <w:rsid w:val="003D76D1"/>
    <w:rsid w:val="003F04CC"/>
    <w:rsid w:val="00407451"/>
    <w:rsid w:val="00410B73"/>
    <w:rsid w:val="004144B2"/>
    <w:rsid w:val="00414A7D"/>
    <w:rsid w:val="00415EEB"/>
    <w:rsid w:val="00430EC6"/>
    <w:rsid w:val="00445104"/>
    <w:rsid w:val="0046067B"/>
    <w:rsid w:val="00461B26"/>
    <w:rsid w:val="00465677"/>
    <w:rsid w:val="0046628F"/>
    <w:rsid w:val="004744C2"/>
    <w:rsid w:val="0047468E"/>
    <w:rsid w:val="00492603"/>
    <w:rsid w:val="004929F2"/>
    <w:rsid w:val="004A548C"/>
    <w:rsid w:val="004A56D6"/>
    <w:rsid w:val="004A592D"/>
    <w:rsid w:val="004B5432"/>
    <w:rsid w:val="004B660B"/>
    <w:rsid w:val="004F70CF"/>
    <w:rsid w:val="00506821"/>
    <w:rsid w:val="00506CB6"/>
    <w:rsid w:val="00507D32"/>
    <w:rsid w:val="0051042B"/>
    <w:rsid w:val="00512D62"/>
    <w:rsid w:val="00520E92"/>
    <w:rsid w:val="00531897"/>
    <w:rsid w:val="00535D3D"/>
    <w:rsid w:val="00542528"/>
    <w:rsid w:val="005733B8"/>
    <w:rsid w:val="00581576"/>
    <w:rsid w:val="00584CE5"/>
    <w:rsid w:val="0058541D"/>
    <w:rsid w:val="00585598"/>
    <w:rsid w:val="00595C5B"/>
    <w:rsid w:val="005B2C3F"/>
    <w:rsid w:val="005B4C1A"/>
    <w:rsid w:val="005C6DD8"/>
    <w:rsid w:val="005E3104"/>
    <w:rsid w:val="005E3987"/>
    <w:rsid w:val="005E41D1"/>
    <w:rsid w:val="00600E91"/>
    <w:rsid w:val="00602E64"/>
    <w:rsid w:val="00605AC7"/>
    <w:rsid w:val="0061590D"/>
    <w:rsid w:val="006231F8"/>
    <w:rsid w:val="006342F6"/>
    <w:rsid w:val="00635DC3"/>
    <w:rsid w:val="00637359"/>
    <w:rsid w:val="00640616"/>
    <w:rsid w:val="006442E0"/>
    <w:rsid w:val="00645CC0"/>
    <w:rsid w:val="006630A5"/>
    <w:rsid w:val="006638A0"/>
    <w:rsid w:val="00683F02"/>
    <w:rsid w:val="00685B2E"/>
    <w:rsid w:val="006A70B1"/>
    <w:rsid w:val="006A7E1C"/>
    <w:rsid w:val="006B3111"/>
    <w:rsid w:val="006C28EB"/>
    <w:rsid w:val="006C5078"/>
    <w:rsid w:val="006C6CCE"/>
    <w:rsid w:val="006D105E"/>
    <w:rsid w:val="006D65E1"/>
    <w:rsid w:val="006F74AF"/>
    <w:rsid w:val="00707BC3"/>
    <w:rsid w:val="00710C9D"/>
    <w:rsid w:val="007126C7"/>
    <w:rsid w:val="007201D4"/>
    <w:rsid w:val="00721C75"/>
    <w:rsid w:val="00721F6F"/>
    <w:rsid w:val="00722164"/>
    <w:rsid w:val="00737DBF"/>
    <w:rsid w:val="00742188"/>
    <w:rsid w:val="00743736"/>
    <w:rsid w:val="00744DFE"/>
    <w:rsid w:val="00746EA3"/>
    <w:rsid w:val="007655C2"/>
    <w:rsid w:val="007729F2"/>
    <w:rsid w:val="00790EC7"/>
    <w:rsid w:val="00793AD1"/>
    <w:rsid w:val="007953B7"/>
    <w:rsid w:val="007963C9"/>
    <w:rsid w:val="007A3E50"/>
    <w:rsid w:val="007B1D78"/>
    <w:rsid w:val="007B71E1"/>
    <w:rsid w:val="007D67EA"/>
    <w:rsid w:val="007E4832"/>
    <w:rsid w:val="008007E1"/>
    <w:rsid w:val="00806674"/>
    <w:rsid w:val="008101B4"/>
    <w:rsid w:val="0083529A"/>
    <w:rsid w:val="00841327"/>
    <w:rsid w:val="0084223A"/>
    <w:rsid w:val="00851A2C"/>
    <w:rsid w:val="00860B41"/>
    <w:rsid w:val="0086644D"/>
    <w:rsid w:val="00877EBF"/>
    <w:rsid w:val="00881CFA"/>
    <w:rsid w:val="008861CE"/>
    <w:rsid w:val="008862C0"/>
    <w:rsid w:val="00895788"/>
    <w:rsid w:val="0089579A"/>
    <w:rsid w:val="008A6583"/>
    <w:rsid w:val="008B482D"/>
    <w:rsid w:val="008C5F73"/>
    <w:rsid w:val="008D3425"/>
    <w:rsid w:val="008D41E5"/>
    <w:rsid w:val="008D69DB"/>
    <w:rsid w:val="008F05FE"/>
    <w:rsid w:val="00900916"/>
    <w:rsid w:val="00901A9A"/>
    <w:rsid w:val="00922B90"/>
    <w:rsid w:val="009233B8"/>
    <w:rsid w:val="009332E0"/>
    <w:rsid w:val="009377EF"/>
    <w:rsid w:val="00944A9B"/>
    <w:rsid w:val="009451D5"/>
    <w:rsid w:val="00955250"/>
    <w:rsid w:val="00961715"/>
    <w:rsid w:val="00970A27"/>
    <w:rsid w:val="00972E4A"/>
    <w:rsid w:val="00973252"/>
    <w:rsid w:val="00973F97"/>
    <w:rsid w:val="00980D14"/>
    <w:rsid w:val="00982D9E"/>
    <w:rsid w:val="0098391E"/>
    <w:rsid w:val="00984A7D"/>
    <w:rsid w:val="0099249B"/>
    <w:rsid w:val="00993C43"/>
    <w:rsid w:val="009B3A29"/>
    <w:rsid w:val="009C25C7"/>
    <w:rsid w:val="009C4AB1"/>
    <w:rsid w:val="009C6E10"/>
    <w:rsid w:val="009D1EFC"/>
    <w:rsid w:val="009D2CA4"/>
    <w:rsid w:val="009E3CB0"/>
    <w:rsid w:val="009E3ED7"/>
    <w:rsid w:val="009E50C2"/>
    <w:rsid w:val="009F58F6"/>
    <w:rsid w:val="00A07FAA"/>
    <w:rsid w:val="00A10615"/>
    <w:rsid w:val="00A13D86"/>
    <w:rsid w:val="00A16F5D"/>
    <w:rsid w:val="00A30C71"/>
    <w:rsid w:val="00A33C78"/>
    <w:rsid w:val="00A35C76"/>
    <w:rsid w:val="00A35EA1"/>
    <w:rsid w:val="00A371BD"/>
    <w:rsid w:val="00A45650"/>
    <w:rsid w:val="00A56287"/>
    <w:rsid w:val="00A61281"/>
    <w:rsid w:val="00A627D6"/>
    <w:rsid w:val="00A73457"/>
    <w:rsid w:val="00A7599A"/>
    <w:rsid w:val="00A87348"/>
    <w:rsid w:val="00A959E0"/>
    <w:rsid w:val="00A96114"/>
    <w:rsid w:val="00AC288A"/>
    <w:rsid w:val="00AD2ECE"/>
    <w:rsid w:val="00AF477E"/>
    <w:rsid w:val="00B06B42"/>
    <w:rsid w:val="00B1111D"/>
    <w:rsid w:val="00B301D0"/>
    <w:rsid w:val="00B316AF"/>
    <w:rsid w:val="00B32490"/>
    <w:rsid w:val="00B3252E"/>
    <w:rsid w:val="00B36651"/>
    <w:rsid w:val="00B4255E"/>
    <w:rsid w:val="00B51193"/>
    <w:rsid w:val="00B73C1A"/>
    <w:rsid w:val="00B74CC3"/>
    <w:rsid w:val="00B74FB0"/>
    <w:rsid w:val="00B82D6F"/>
    <w:rsid w:val="00B94BAD"/>
    <w:rsid w:val="00B9683C"/>
    <w:rsid w:val="00BA47AE"/>
    <w:rsid w:val="00BB17CC"/>
    <w:rsid w:val="00BC1808"/>
    <w:rsid w:val="00BC7CBD"/>
    <w:rsid w:val="00BD607E"/>
    <w:rsid w:val="00BD7326"/>
    <w:rsid w:val="00BD7997"/>
    <w:rsid w:val="00BE088F"/>
    <w:rsid w:val="00BE6B43"/>
    <w:rsid w:val="00BF25C1"/>
    <w:rsid w:val="00C36364"/>
    <w:rsid w:val="00C4493A"/>
    <w:rsid w:val="00C47B5C"/>
    <w:rsid w:val="00C51A23"/>
    <w:rsid w:val="00C5371E"/>
    <w:rsid w:val="00C708F4"/>
    <w:rsid w:val="00C73E01"/>
    <w:rsid w:val="00C73F71"/>
    <w:rsid w:val="00C75B78"/>
    <w:rsid w:val="00C90197"/>
    <w:rsid w:val="00C902E9"/>
    <w:rsid w:val="00C90FE3"/>
    <w:rsid w:val="00C94078"/>
    <w:rsid w:val="00CA25F0"/>
    <w:rsid w:val="00CB12A6"/>
    <w:rsid w:val="00CB18F5"/>
    <w:rsid w:val="00CD1091"/>
    <w:rsid w:val="00CF7BBF"/>
    <w:rsid w:val="00D029F3"/>
    <w:rsid w:val="00D10D4C"/>
    <w:rsid w:val="00D14C7D"/>
    <w:rsid w:val="00D169EE"/>
    <w:rsid w:val="00D2014E"/>
    <w:rsid w:val="00D21839"/>
    <w:rsid w:val="00D52E8D"/>
    <w:rsid w:val="00D6025D"/>
    <w:rsid w:val="00D61198"/>
    <w:rsid w:val="00D61FBA"/>
    <w:rsid w:val="00D76B44"/>
    <w:rsid w:val="00D7723D"/>
    <w:rsid w:val="00D827B9"/>
    <w:rsid w:val="00D91863"/>
    <w:rsid w:val="00D935F5"/>
    <w:rsid w:val="00D94623"/>
    <w:rsid w:val="00D960DB"/>
    <w:rsid w:val="00DA19F2"/>
    <w:rsid w:val="00DA308D"/>
    <w:rsid w:val="00DB050F"/>
    <w:rsid w:val="00DB243B"/>
    <w:rsid w:val="00DB48BB"/>
    <w:rsid w:val="00DB635B"/>
    <w:rsid w:val="00DC1D40"/>
    <w:rsid w:val="00DD506D"/>
    <w:rsid w:val="00DE6486"/>
    <w:rsid w:val="00DF7D00"/>
    <w:rsid w:val="00E01A28"/>
    <w:rsid w:val="00E3486C"/>
    <w:rsid w:val="00E534D3"/>
    <w:rsid w:val="00E574CA"/>
    <w:rsid w:val="00E61D65"/>
    <w:rsid w:val="00E63EE8"/>
    <w:rsid w:val="00E67AD2"/>
    <w:rsid w:val="00E81E37"/>
    <w:rsid w:val="00EA18B0"/>
    <w:rsid w:val="00EA4CF9"/>
    <w:rsid w:val="00EB3665"/>
    <w:rsid w:val="00EB7C8C"/>
    <w:rsid w:val="00EC2641"/>
    <w:rsid w:val="00EC335F"/>
    <w:rsid w:val="00EF0831"/>
    <w:rsid w:val="00EF25DC"/>
    <w:rsid w:val="00EF4496"/>
    <w:rsid w:val="00EF44AD"/>
    <w:rsid w:val="00F06035"/>
    <w:rsid w:val="00F06897"/>
    <w:rsid w:val="00F07CB2"/>
    <w:rsid w:val="00F13C35"/>
    <w:rsid w:val="00F30356"/>
    <w:rsid w:val="00F34495"/>
    <w:rsid w:val="00F42699"/>
    <w:rsid w:val="00F46E10"/>
    <w:rsid w:val="00F56852"/>
    <w:rsid w:val="00F85AA5"/>
    <w:rsid w:val="00F96573"/>
    <w:rsid w:val="00FB1513"/>
    <w:rsid w:val="00FB4BCA"/>
    <w:rsid w:val="00FB6504"/>
    <w:rsid w:val="00FE1682"/>
    <w:rsid w:val="00FE2A5B"/>
    <w:rsid w:val="00FE3F79"/>
    <w:rsid w:val="00FF2706"/>
    <w:rsid w:val="010913FB"/>
    <w:rsid w:val="013C5927"/>
    <w:rsid w:val="01475D04"/>
    <w:rsid w:val="01527D93"/>
    <w:rsid w:val="01CF226B"/>
    <w:rsid w:val="01E16046"/>
    <w:rsid w:val="023E3793"/>
    <w:rsid w:val="025A079D"/>
    <w:rsid w:val="0276096B"/>
    <w:rsid w:val="029C58B6"/>
    <w:rsid w:val="02B0523A"/>
    <w:rsid w:val="03052321"/>
    <w:rsid w:val="032E50FD"/>
    <w:rsid w:val="0337738D"/>
    <w:rsid w:val="034333EA"/>
    <w:rsid w:val="035025CB"/>
    <w:rsid w:val="03746BF0"/>
    <w:rsid w:val="03F301B2"/>
    <w:rsid w:val="04051C0A"/>
    <w:rsid w:val="042D6075"/>
    <w:rsid w:val="04327205"/>
    <w:rsid w:val="0457570E"/>
    <w:rsid w:val="04CD4747"/>
    <w:rsid w:val="04E02FB3"/>
    <w:rsid w:val="052815EB"/>
    <w:rsid w:val="055B3313"/>
    <w:rsid w:val="05984020"/>
    <w:rsid w:val="05C43569"/>
    <w:rsid w:val="060F2843"/>
    <w:rsid w:val="06130982"/>
    <w:rsid w:val="06375809"/>
    <w:rsid w:val="066D151F"/>
    <w:rsid w:val="066E739D"/>
    <w:rsid w:val="0685406F"/>
    <w:rsid w:val="06920FF3"/>
    <w:rsid w:val="06BD404D"/>
    <w:rsid w:val="06C96C45"/>
    <w:rsid w:val="06E4375B"/>
    <w:rsid w:val="07161FB6"/>
    <w:rsid w:val="071C6FC5"/>
    <w:rsid w:val="07393A1B"/>
    <w:rsid w:val="07657FEB"/>
    <w:rsid w:val="07811EB1"/>
    <w:rsid w:val="07B0512D"/>
    <w:rsid w:val="07B6443F"/>
    <w:rsid w:val="07BC2556"/>
    <w:rsid w:val="07D96B2D"/>
    <w:rsid w:val="07EC6F23"/>
    <w:rsid w:val="08120FED"/>
    <w:rsid w:val="08646E76"/>
    <w:rsid w:val="088968DD"/>
    <w:rsid w:val="08E77E2A"/>
    <w:rsid w:val="08E87DA5"/>
    <w:rsid w:val="09315281"/>
    <w:rsid w:val="09635FC5"/>
    <w:rsid w:val="097B0DD6"/>
    <w:rsid w:val="09A715C2"/>
    <w:rsid w:val="09F81423"/>
    <w:rsid w:val="0A0B3BC5"/>
    <w:rsid w:val="0A0D7E05"/>
    <w:rsid w:val="0A6C30CE"/>
    <w:rsid w:val="0A89502E"/>
    <w:rsid w:val="0AED64F7"/>
    <w:rsid w:val="0B1D39A2"/>
    <w:rsid w:val="0B20219D"/>
    <w:rsid w:val="0B4F4F73"/>
    <w:rsid w:val="0B614AB6"/>
    <w:rsid w:val="0BD009F7"/>
    <w:rsid w:val="0BD35FFE"/>
    <w:rsid w:val="0C1447DB"/>
    <w:rsid w:val="0C9021F7"/>
    <w:rsid w:val="0CAA4141"/>
    <w:rsid w:val="0CD900A9"/>
    <w:rsid w:val="0D1A0948"/>
    <w:rsid w:val="0D422C78"/>
    <w:rsid w:val="0D563159"/>
    <w:rsid w:val="0D8440D8"/>
    <w:rsid w:val="0D8E0B55"/>
    <w:rsid w:val="0DC3019B"/>
    <w:rsid w:val="0DE841D0"/>
    <w:rsid w:val="0DF04EC9"/>
    <w:rsid w:val="0E092AD0"/>
    <w:rsid w:val="0E28353B"/>
    <w:rsid w:val="0E38099E"/>
    <w:rsid w:val="0E3B45EF"/>
    <w:rsid w:val="0E651DF9"/>
    <w:rsid w:val="0E825A99"/>
    <w:rsid w:val="0ECF22B5"/>
    <w:rsid w:val="0EDB7766"/>
    <w:rsid w:val="0F4F5908"/>
    <w:rsid w:val="10093BC1"/>
    <w:rsid w:val="100A341E"/>
    <w:rsid w:val="1010722C"/>
    <w:rsid w:val="10553C48"/>
    <w:rsid w:val="105E15D7"/>
    <w:rsid w:val="108067E3"/>
    <w:rsid w:val="10A63A3A"/>
    <w:rsid w:val="10D652F5"/>
    <w:rsid w:val="112105A3"/>
    <w:rsid w:val="11366B7F"/>
    <w:rsid w:val="11605F3E"/>
    <w:rsid w:val="11795D64"/>
    <w:rsid w:val="11BC1869"/>
    <w:rsid w:val="123D1597"/>
    <w:rsid w:val="1247120B"/>
    <w:rsid w:val="12525F91"/>
    <w:rsid w:val="12706417"/>
    <w:rsid w:val="1294567E"/>
    <w:rsid w:val="12C63A86"/>
    <w:rsid w:val="132D6941"/>
    <w:rsid w:val="13361A86"/>
    <w:rsid w:val="136358D5"/>
    <w:rsid w:val="13735294"/>
    <w:rsid w:val="13890910"/>
    <w:rsid w:val="138A00C1"/>
    <w:rsid w:val="13CB5FFB"/>
    <w:rsid w:val="13F80B25"/>
    <w:rsid w:val="1407190A"/>
    <w:rsid w:val="142249BB"/>
    <w:rsid w:val="142851FC"/>
    <w:rsid w:val="14495619"/>
    <w:rsid w:val="146B0D1A"/>
    <w:rsid w:val="146B1688"/>
    <w:rsid w:val="146C42BA"/>
    <w:rsid w:val="14D8526C"/>
    <w:rsid w:val="14F538E0"/>
    <w:rsid w:val="14FA5A94"/>
    <w:rsid w:val="1538288D"/>
    <w:rsid w:val="154B6383"/>
    <w:rsid w:val="15BF3CC0"/>
    <w:rsid w:val="1604641E"/>
    <w:rsid w:val="1604674E"/>
    <w:rsid w:val="16B00A4C"/>
    <w:rsid w:val="17087ABC"/>
    <w:rsid w:val="170A6E3A"/>
    <w:rsid w:val="17306017"/>
    <w:rsid w:val="17323815"/>
    <w:rsid w:val="1746467A"/>
    <w:rsid w:val="179A337F"/>
    <w:rsid w:val="17C035FF"/>
    <w:rsid w:val="18016469"/>
    <w:rsid w:val="18530CCF"/>
    <w:rsid w:val="189015C1"/>
    <w:rsid w:val="18E15979"/>
    <w:rsid w:val="18FD3E08"/>
    <w:rsid w:val="191B25F0"/>
    <w:rsid w:val="191C7BAD"/>
    <w:rsid w:val="198B368B"/>
    <w:rsid w:val="19D0545E"/>
    <w:rsid w:val="19F4413E"/>
    <w:rsid w:val="1A223E49"/>
    <w:rsid w:val="1A27370B"/>
    <w:rsid w:val="1AA25F0E"/>
    <w:rsid w:val="1AE33CF3"/>
    <w:rsid w:val="1AE81C42"/>
    <w:rsid w:val="1AEA290A"/>
    <w:rsid w:val="1AF003A5"/>
    <w:rsid w:val="1B0626CB"/>
    <w:rsid w:val="1B3F5E66"/>
    <w:rsid w:val="1B464457"/>
    <w:rsid w:val="1B6D293C"/>
    <w:rsid w:val="1B773C58"/>
    <w:rsid w:val="1B913EC3"/>
    <w:rsid w:val="1BB44F3E"/>
    <w:rsid w:val="1BB569D7"/>
    <w:rsid w:val="1BBE1FA1"/>
    <w:rsid w:val="1BE90E49"/>
    <w:rsid w:val="1C3376F6"/>
    <w:rsid w:val="1C4314FE"/>
    <w:rsid w:val="1C5272C5"/>
    <w:rsid w:val="1C6D79B6"/>
    <w:rsid w:val="1C826DE0"/>
    <w:rsid w:val="1C843DF8"/>
    <w:rsid w:val="1C880A4D"/>
    <w:rsid w:val="1CB001CE"/>
    <w:rsid w:val="1CE30562"/>
    <w:rsid w:val="1CED57E8"/>
    <w:rsid w:val="1CF87A74"/>
    <w:rsid w:val="1D306C1F"/>
    <w:rsid w:val="1D8E00B2"/>
    <w:rsid w:val="1DA108AC"/>
    <w:rsid w:val="1DBB0275"/>
    <w:rsid w:val="1DD13E18"/>
    <w:rsid w:val="1DE44FCD"/>
    <w:rsid w:val="1E0830D4"/>
    <w:rsid w:val="1E382FD2"/>
    <w:rsid w:val="1E822534"/>
    <w:rsid w:val="1EA039E7"/>
    <w:rsid w:val="1EA1447F"/>
    <w:rsid w:val="1ECF44C6"/>
    <w:rsid w:val="1F2B13C4"/>
    <w:rsid w:val="1F6224F4"/>
    <w:rsid w:val="1F7A4C47"/>
    <w:rsid w:val="200B76C6"/>
    <w:rsid w:val="200F101E"/>
    <w:rsid w:val="20331AC5"/>
    <w:rsid w:val="203767C6"/>
    <w:rsid w:val="203A4024"/>
    <w:rsid w:val="20490C35"/>
    <w:rsid w:val="205E7EF7"/>
    <w:rsid w:val="208B5955"/>
    <w:rsid w:val="20945604"/>
    <w:rsid w:val="20B6593D"/>
    <w:rsid w:val="20BD7F29"/>
    <w:rsid w:val="21006CC8"/>
    <w:rsid w:val="210A673F"/>
    <w:rsid w:val="213140E5"/>
    <w:rsid w:val="215F10C8"/>
    <w:rsid w:val="219F4623"/>
    <w:rsid w:val="21A4239F"/>
    <w:rsid w:val="21CC5D1B"/>
    <w:rsid w:val="22787763"/>
    <w:rsid w:val="22A53EBB"/>
    <w:rsid w:val="22EE0C12"/>
    <w:rsid w:val="23090BFA"/>
    <w:rsid w:val="2312792E"/>
    <w:rsid w:val="233250C1"/>
    <w:rsid w:val="233E74ED"/>
    <w:rsid w:val="23681D50"/>
    <w:rsid w:val="2376558F"/>
    <w:rsid w:val="242C4571"/>
    <w:rsid w:val="24392B0D"/>
    <w:rsid w:val="24776FAE"/>
    <w:rsid w:val="247C1BE9"/>
    <w:rsid w:val="24D636BE"/>
    <w:rsid w:val="252A29B7"/>
    <w:rsid w:val="255B7FF6"/>
    <w:rsid w:val="257C3BA4"/>
    <w:rsid w:val="263413D9"/>
    <w:rsid w:val="26432F4A"/>
    <w:rsid w:val="26537E18"/>
    <w:rsid w:val="269B3EA4"/>
    <w:rsid w:val="26AB75C6"/>
    <w:rsid w:val="26CD2C9E"/>
    <w:rsid w:val="26D72DD5"/>
    <w:rsid w:val="270B1989"/>
    <w:rsid w:val="2760286A"/>
    <w:rsid w:val="27950B07"/>
    <w:rsid w:val="279C7FBF"/>
    <w:rsid w:val="28267024"/>
    <w:rsid w:val="284842CC"/>
    <w:rsid w:val="291A3473"/>
    <w:rsid w:val="292B24BA"/>
    <w:rsid w:val="29611D94"/>
    <w:rsid w:val="29852C9F"/>
    <w:rsid w:val="29E51041"/>
    <w:rsid w:val="29EA05B0"/>
    <w:rsid w:val="29FF7FA8"/>
    <w:rsid w:val="2AAE1305"/>
    <w:rsid w:val="2ABD7A96"/>
    <w:rsid w:val="2AE63F56"/>
    <w:rsid w:val="2B0B2960"/>
    <w:rsid w:val="2B19647D"/>
    <w:rsid w:val="2B26352A"/>
    <w:rsid w:val="2B6B600C"/>
    <w:rsid w:val="2B9C59B2"/>
    <w:rsid w:val="2BB909AA"/>
    <w:rsid w:val="2BEF43D2"/>
    <w:rsid w:val="2C1C74F7"/>
    <w:rsid w:val="2C3A6E5B"/>
    <w:rsid w:val="2C7548FE"/>
    <w:rsid w:val="2C8649CD"/>
    <w:rsid w:val="2CC17632"/>
    <w:rsid w:val="2CEA4BEF"/>
    <w:rsid w:val="2CFB47BA"/>
    <w:rsid w:val="2D3447B9"/>
    <w:rsid w:val="2DF266A6"/>
    <w:rsid w:val="2E2A6AAB"/>
    <w:rsid w:val="2E493EAA"/>
    <w:rsid w:val="2E8250B1"/>
    <w:rsid w:val="2EB94FCE"/>
    <w:rsid w:val="2EBD5627"/>
    <w:rsid w:val="2ECF5D25"/>
    <w:rsid w:val="2F0C115A"/>
    <w:rsid w:val="2F266384"/>
    <w:rsid w:val="2F41775C"/>
    <w:rsid w:val="2F6F4D11"/>
    <w:rsid w:val="2F764220"/>
    <w:rsid w:val="2FA76218"/>
    <w:rsid w:val="2FB44347"/>
    <w:rsid w:val="2FCD07D5"/>
    <w:rsid w:val="2FDA59AB"/>
    <w:rsid w:val="2FF65EFB"/>
    <w:rsid w:val="30470360"/>
    <w:rsid w:val="30635567"/>
    <w:rsid w:val="30751507"/>
    <w:rsid w:val="30AD043D"/>
    <w:rsid w:val="31175F84"/>
    <w:rsid w:val="311A5A74"/>
    <w:rsid w:val="314F3598"/>
    <w:rsid w:val="315D6E92"/>
    <w:rsid w:val="31C41D4C"/>
    <w:rsid w:val="31C5019D"/>
    <w:rsid w:val="31DD2203"/>
    <w:rsid w:val="31DE048E"/>
    <w:rsid w:val="31F80E73"/>
    <w:rsid w:val="320E73FA"/>
    <w:rsid w:val="322A5A23"/>
    <w:rsid w:val="32315080"/>
    <w:rsid w:val="32B61BB8"/>
    <w:rsid w:val="32BB3C5F"/>
    <w:rsid w:val="32FF13C6"/>
    <w:rsid w:val="33061F3D"/>
    <w:rsid w:val="330E4C14"/>
    <w:rsid w:val="332A7883"/>
    <w:rsid w:val="333B1446"/>
    <w:rsid w:val="33440FF6"/>
    <w:rsid w:val="335A484E"/>
    <w:rsid w:val="336D43A7"/>
    <w:rsid w:val="338B1C48"/>
    <w:rsid w:val="33970415"/>
    <w:rsid w:val="344A1AB1"/>
    <w:rsid w:val="34AD4440"/>
    <w:rsid w:val="34BA0071"/>
    <w:rsid w:val="34BC31A7"/>
    <w:rsid w:val="35076D10"/>
    <w:rsid w:val="357141CD"/>
    <w:rsid w:val="35874CC0"/>
    <w:rsid w:val="35B44A00"/>
    <w:rsid w:val="360047DC"/>
    <w:rsid w:val="36381A05"/>
    <w:rsid w:val="364B52B8"/>
    <w:rsid w:val="365325D0"/>
    <w:rsid w:val="367B7B4B"/>
    <w:rsid w:val="368B4415"/>
    <w:rsid w:val="36D1598E"/>
    <w:rsid w:val="3733107D"/>
    <w:rsid w:val="37BE66B0"/>
    <w:rsid w:val="37CA2CE6"/>
    <w:rsid w:val="37E20ED5"/>
    <w:rsid w:val="38084596"/>
    <w:rsid w:val="3862042D"/>
    <w:rsid w:val="38655F2A"/>
    <w:rsid w:val="387078B1"/>
    <w:rsid w:val="38AF7818"/>
    <w:rsid w:val="38C51B71"/>
    <w:rsid w:val="38E36470"/>
    <w:rsid w:val="38FE08F0"/>
    <w:rsid w:val="391B356C"/>
    <w:rsid w:val="391F1188"/>
    <w:rsid w:val="392E6561"/>
    <w:rsid w:val="393D7E31"/>
    <w:rsid w:val="395D1CBC"/>
    <w:rsid w:val="396269CE"/>
    <w:rsid w:val="39641A4F"/>
    <w:rsid w:val="39A9559D"/>
    <w:rsid w:val="39B0052D"/>
    <w:rsid w:val="39C05DBF"/>
    <w:rsid w:val="39E356FF"/>
    <w:rsid w:val="3A013C75"/>
    <w:rsid w:val="3A1D4937"/>
    <w:rsid w:val="3A2121B7"/>
    <w:rsid w:val="3A2E433C"/>
    <w:rsid w:val="3A6D2B00"/>
    <w:rsid w:val="3A6F63DC"/>
    <w:rsid w:val="3A9E731F"/>
    <w:rsid w:val="3AB20D44"/>
    <w:rsid w:val="3AB77029"/>
    <w:rsid w:val="3B082DE1"/>
    <w:rsid w:val="3B21560F"/>
    <w:rsid w:val="3B5E29E6"/>
    <w:rsid w:val="3B8D38E0"/>
    <w:rsid w:val="3B8F7D9E"/>
    <w:rsid w:val="3C26054D"/>
    <w:rsid w:val="3C296B0F"/>
    <w:rsid w:val="3C325031"/>
    <w:rsid w:val="3C4E2DEE"/>
    <w:rsid w:val="3C5574A0"/>
    <w:rsid w:val="3C6B203F"/>
    <w:rsid w:val="3C780865"/>
    <w:rsid w:val="3CF31D63"/>
    <w:rsid w:val="3D863960"/>
    <w:rsid w:val="3DE965F7"/>
    <w:rsid w:val="3E342D7E"/>
    <w:rsid w:val="3E7444D1"/>
    <w:rsid w:val="3EAF7699"/>
    <w:rsid w:val="3EB92D70"/>
    <w:rsid w:val="3EE07C08"/>
    <w:rsid w:val="3EEB62C9"/>
    <w:rsid w:val="3EF63140"/>
    <w:rsid w:val="3F224721"/>
    <w:rsid w:val="3F5C246B"/>
    <w:rsid w:val="401C35B7"/>
    <w:rsid w:val="404345F6"/>
    <w:rsid w:val="404F1560"/>
    <w:rsid w:val="40583EC3"/>
    <w:rsid w:val="408B526C"/>
    <w:rsid w:val="40BB5C8B"/>
    <w:rsid w:val="41392DBA"/>
    <w:rsid w:val="415A6016"/>
    <w:rsid w:val="41764DD5"/>
    <w:rsid w:val="41937175"/>
    <w:rsid w:val="41B065D0"/>
    <w:rsid w:val="41BC1E95"/>
    <w:rsid w:val="42213891"/>
    <w:rsid w:val="422310F2"/>
    <w:rsid w:val="42536B69"/>
    <w:rsid w:val="42DC702D"/>
    <w:rsid w:val="42F92563"/>
    <w:rsid w:val="43001783"/>
    <w:rsid w:val="43097B0C"/>
    <w:rsid w:val="43432429"/>
    <w:rsid w:val="436F33FF"/>
    <w:rsid w:val="43A63197"/>
    <w:rsid w:val="43CF2286"/>
    <w:rsid w:val="43D30A3D"/>
    <w:rsid w:val="43F14D5A"/>
    <w:rsid w:val="44093D72"/>
    <w:rsid w:val="441C4C0C"/>
    <w:rsid w:val="449F20EB"/>
    <w:rsid w:val="44B32010"/>
    <w:rsid w:val="44C40531"/>
    <w:rsid w:val="44DA0A42"/>
    <w:rsid w:val="45296FCD"/>
    <w:rsid w:val="45400737"/>
    <w:rsid w:val="459F3620"/>
    <w:rsid w:val="45F87C37"/>
    <w:rsid w:val="46227B19"/>
    <w:rsid w:val="466E1E27"/>
    <w:rsid w:val="467D2032"/>
    <w:rsid w:val="4687466B"/>
    <w:rsid w:val="46975BD8"/>
    <w:rsid w:val="469F0A9E"/>
    <w:rsid w:val="46BA6783"/>
    <w:rsid w:val="46BD2B18"/>
    <w:rsid w:val="46D244F6"/>
    <w:rsid w:val="46E41863"/>
    <w:rsid w:val="47174AA8"/>
    <w:rsid w:val="471A1F55"/>
    <w:rsid w:val="47281EB5"/>
    <w:rsid w:val="472A3715"/>
    <w:rsid w:val="47613FA5"/>
    <w:rsid w:val="476E7B43"/>
    <w:rsid w:val="4786759C"/>
    <w:rsid w:val="47937CA8"/>
    <w:rsid w:val="47AB318C"/>
    <w:rsid w:val="47F416FD"/>
    <w:rsid w:val="4809028E"/>
    <w:rsid w:val="481C2201"/>
    <w:rsid w:val="4839119C"/>
    <w:rsid w:val="48571093"/>
    <w:rsid w:val="487E3482"/>
    <w:rsid w:val="488E6BE0"/>
    <w:rsid w:val="48E153E1"/>
    <w:rsid w:val="49303487"/>
    <w:rsid w:val="494E1CE7"/>
    <w:rsid w:val="495602D8"/>
    <w:rsid w:val="49705184"/>
    <w:rsid w:val="49B82A48"/>
    <w:rsid w:val="49CF169A"/>
    <w:rsid w:val="49CF23E1"/>
    <w:rsid w:val="4A0C644A"/>
    <w:rsid w:val="4A1406A8"/>
    <w:rsid w:val="4A2566A9"/>
    <w:rsid w:val="4A5C2359"/>
    <w:rsid w:val="4A6E04A6"/>
    <w:rsid w:val="4ABD026D"/>
    <w:rsid w:val="4AE763A1"/>
    <w:rsid w:val="4B624199"/>
    <w:rsid w:val="4B79484E"/>
    <w:rsid w:val="4B8738F4"/>
    <w:rsid w:val="4BB37B83"/>
    <w:rsid w:val="4BCC59C1"/>
    <w:rsid w:val="4C3159D8"/>
    <w:rsid w:val="4C3A5F79"/>
    <w:rsid w:val="4C433B5F"/>
    <w:rsid w:val="4C5A18B5"/>
    <w:rsid w:val="4CB132D9"/>
    <w:rsid w:val="4CB2646B"/>
    <w:rsid w:val="4CDA1DC0"/>
    <w:rsid w:val="4CDE2EB4"/>
    <w:rsid w:val="4CEA5A49"/>
    <w:rsid w:val="4CF136D5"/>
    <w:rsid w:val="4D293A2A"/>
    <w:rsid w:val="4D46447D"/>
    <w:rsid w:val="4D7D140D"/>
    <w:rsid w:val="4D8E7FA6"/>
    <w:rsid w:val="4D9C3908"/>
    <w:rsid w:val="4DD3702C"/>
    <w:rsid w:val="4E3D04E0"/>
    <w:rsid w:val="4E8F2DA5"/>
    <w:rsid w:val="4E9661C9"/>
    <w:rsid w:val="4EE73224"/>
    <w:rsid w:val="4F002B1A"/>
    <w:rsid w:val="4F387737"/>
    <w:rsid w:val="4F4A3D8F"/>
    <w:rsid w:val="4FD6667E"/>
    <w:rsid w:val="4FF80D0B"/>
    <w:rsid w:val="501443FB"/>
    <w:rsid w:val="50847C70"/>
    <w:rsid w:val="509A3C7A"/>
    <w:rsid w:val="50A53155"/>
    <w:rsid w:val="50CE02F4"/>
    <w:rsid w:val="50E41D04"/>
    <w:rsid w:val="51053DF9"/>
    <w:rsid w:val="51086636"/>
    <w:rsid w:val="515F4F84"/>
    <w:rsid w:val="516A41A5"/>
    <w:rsid w:val="516F285B"/>
    <w:rsid w:val="51AC4846"/>
    <w:rsid w:val="51BC7F0B"/>
    <w:rsid w:val="51BD26AC"/>
    <w:rsid w:val="51E07D37"/>
    <w:rsid w:val="51E73F07"/>
    <w:rsid w:val="521C0DAF"/>
    <w:rsid w:val="52593E99"/>
    <w:rsid w:val="52A2174C"/>
    <w:rsid w:val="52B603B2"/>
    <w:rsid w:val="52B9080B"/>
    <w:rsid w:val="52CF403A"/>
    <w:rsid w:val="52D66B0E"/>
    <w:rsid w:val="52F95FD1"/>
    <w:rsid w:val="53185E60"/>
    <w:rsid w:val="539D3FDA"/>
    <w:rsid w:val="53FA4232"/>
    <w:rsid w:val="547C2BE4"/>
    <w:rsid w:val="54FF51E1"/>
    <w:rsid w:val="554C5867"/>
    <w:rsid w:val="554D1D17"/>
    <w:rsid w:val="557708B1"/>
    <w:rsid w:val="55822CC0"/>
    <w:rsid w:val="55AB4D9C"/>
    <w:rsid w:val="55F83927"/>
    <w:rsid w:val="5619434D"/>
    <w:rsid w:val="56396484"/>
    <w:rsid w:val="565A06F3"/>
    <w:rsid w:val="56647F7A"/>
    <w:rsid w:val="567A473C"/>
    <w:rsid w:val="56ED6955"/>
    <w:rsid w:val="57007B38"/>
    <w:rsid w:val="5705494D"/>
    <w:rsid w:val="571538A6"/>
    <w:rsid w:val="574A2360"/>
    <w:rsid w:val="57977623"/>
    <w:rsid w:val="57E417E0"/>
    <w:rsid w:val="57FC4AB5"/>
    <w:rsid w:val="58532B85"/>
    <w:rsid w:val="587B3B05"/>
    <w:rsid w:val="58C24CEE"/>
    <w:rsid w:val="58FA67C7"/>
    <w:rsid w:val="59406F83"/>
    <w:rsid w:val="594560DB"/>
    <w:rsid w:val="594F4EB6"/>
    <w:rsid w:val="59786C25"/>
    <w:rsid w:val="5995679B"/>
    <w:rsid w:val="59B85B4B"/>
    <w:rsid w:val="59D9059A"/>
    <w:rsid w:val="5A0646DD"/>
    <w:rsid w:val="5A2F33AD"/>
    <w:rsid w:val="5A43195F"/>
    <w:rsid w:val="5A4548E9"/>
    <w:rsid w:val="5A764F11"/>
    <w:rsid w:val="5A7979BC"/>
    <w:rsid w:val="5A8172D3"/>
    <w:rsid w:val="5AA118A6"/>
    <w:rsid w:val="5AB20B78"/>
    <w:rsid w:val="5AF3628B"/>
    <w:rsid w:val="5B765E19"/>
    <w:rsid w:val="5B7B3430"/>
    <w:rsid w:val="5BB2710A"/>
    <w:rsid w:val="5C7C755C"/>
    <w:rsid w:val="5C9322CA"/>
    <w:rsid w:val="5CAF586C"/>
    <w:rsid w:val="5CF10D18"/>
    <w:rsid w:val="5CF7705F"/>
    <w:rsid w:val="5D182AD3"/>
    <w:rsid w:val="5D276C9F"/>
    <w:rsid w:val="5D2A31BD"/>
    <w:rsid w:val="5D520E10"/>
    <w:rsid w:val="5DD21301"/>
    <w:rsid w:val="5DD220B2"/>
    <w:rsid w:val="5E007C1C"/>
    <w:rsid w:val="5E3C3E1B"/>
    <w:rsid w:val="5E7E6D93"/>
    <w:rsid w:val="5EAA5FAC"/>
    <w:rsid w:val="5EB578BE"/>
    <w:rsid w:val="5F0C3534"/>
    <w:rsid w:val="5F2F3C3C"/>
    <w:rsid w:val="5F5E17F7"/>
    <w:rsid w:val="604E3D03"/>
    <w:rsid w:val="606B47C1"/>
    <w:rsid w:val="606F2DAC"/>
    <w:rsid w:val="6075101A"/>
    <w:rsid w:val="608F0241"/>
    <w:rsid w:val="609C75DC"/>
    <w:rsid w:val="60D1764E"/>
    <w:rsid w:val="60EB1C5F"/>
    <w:rsid w:val="612440B4"/>
    <w:rsid w:val="613E755F"/>
    <w:rsid w:val="614038D8"/>
    <w:rsid w:val="614304AF"/>
    <w:rsid w:val="61760D35"/>
    <w:rsid w:val="61850F69"/>
    <w:rsid w:val="6186534F"/>
    <w:rsid w:val="61A6478B"/>
    <w:rsid w:val="61CF0D5B"/>
    <w:rsid w:val="61D97741"/>
    <w:rsid w:val="61E8644F"/>
    <w:rsid w:val="61EF6999"/>
    <w:rsid w:val="624112D3"/>
    <w:rsid w:val="625D4D78"/>
    <w:rsid w:val="6267530C"/>
    <w:rsid w:val="62882248"/>
    <w:rsid w:val="62E514DA"/>
    <w:rsid w:val="62E53885"/>
    <w:rsid w:val="63593DFE"/>
    <w:rsid w:val="63E4524A"/>
    <w:rsid w:val="63EB6270"/>
    <w:rsid w:val="63F3273C"/>
    <w:rsid w:val="64187ED8"/>
    <w:rsid w:val="644F7AF3"/>
    <w:rsid w:val="647C2CC2"/>
    <w:rsid w:val="64BF0FC4"/>
    <w:rsid w:val="64D3505D"/>
    <w:rsid w:val="64DD1367"/>
    <w:rsid w:val="65166A4F"/>
    <w:rsid w:val="65194626"/>
    <w:rsid w:val="65984BDE"/>
    <w:rsid w:val="65A96A51"/>
    <w:rsid w:val="65B11727"/>
    <w:rsid w:val="65D204A1"/>
    <w:rsid w:val="663261DD"/>
    <w:rsid w:val="664204F7"/>
    <w:rsid w:val="66A3360C"/>
    <w:rsid w:val="66BF00F6"/>
    <w:rsid w:val="66C607F3"/>
    <w:rsid w:val="671E5894"/>
    <w:rsid w:val="672C20EB"/>
    <w:rsid w:val="6773322A"/>
    <w:rsid w:val="67950C86"/>
    <w:rsid w:val="67965B4A"/>
    <w:rsid w:val="67A9618E"/>
    <w:rsid w:val="67B94293"/>
    <w:rsid w:val="680C1D14"/>
    <w:rsid w:val="68486137"/>
    <w:rsid w:val="68493207"/>
    <w:rsid w:val="685437BB"/>
    <w:rsid w:val="68670618"/>
    <w:rsid w:val="686B635E"/>
    <w:rsid w:val="686D2D16"/>
    <w:rsid w:val="68C94258"/>
    <w:rsid w:val="68D832D0"/>
    <w:rsid w:val="68ED67E5"/>
    <w:rsid w:val="690B2669"/>
    <w:rsid w:val="69124CA8"/>
    <w:rsid w:val="691D3252"/>
    <w:rsid w:val="69215E73"/>
    <w:rsid w:val="693228AC"/>
    <w:rsid w:val="6943279B"/>
    <w:rsid w:val="698C2F25"/>
    <w:rsid w:val="69A35E2C"/>
    <w:rsid w:val="69CA3A30"/>
    <w:rsid w:val="6A032322"/>
    <w:rsid w:val="6A2D7C6B"/>
    <w:rsid w:val="6A4F5454"/>
    <w:rsid w:val="6A7C27C8"/>
    <w:rsid w:val="6A9525EC"/>
    <w:rsid w:val="6ABB71FB"/>
    <w:rsid w:val="6B084EFF"/>
    <w:rsid w:val="6B0D1BCA"/>
    <w:rsid w:val="6BAC4045"/>
    <w:rsid w:val="6BBB2AFF"/>
    <w:rsid w:val="6BBE0432"/>
    <w:rsid w:val="6BCA6A7C"/>
    <w:rsid w:val="6BEC1EF3"/>
    <w:rsid w:val="6BEE7306"/>
    <w:rsid w:val="6BF67C3F"/>
    <w:rsid w:val="6C2804B6"/>
    <w:rsid w:val="6C4D4633"/>
    <w:rsid w:val="6C69716A"/>
    <w:rsid w:val="6C8075CC"/>
    <w:rsid w:val="6C8D05DA"/>
    <w:rsid w:val="6CA361A3"/>
    <w:rsid w:val="6CCD0BB3"/>
    <w:rsid w:val="6D103BE6"/>
    <w:rsid w:val="6D490936"/>
    <w:rsid w:val="6D506F14"/>
    <w:rsid w:val="6D951199"/>
    <w:rsid w:val="6DA4096B"/>
    <w:rsid w:val="6DAE3DC8"/>
    <w:rsid w:val="6DC14F1A"/>
    <w:rsid w:val="6E1732B8"/>
    <w:rsid w:val="6E520BBE"/>
    <w:rsid w:val="6E6826A8"/>
    <w:rsid w:val="6E9B2E35"/>
    <w:rsid w:val="6EBB2C8B"/>
    <w:rsid w:val="6ED267CD"/>
    <w:rsid w:val="6ED34DDD"/>
    <w:rsid w:val="6F0F5EF8"/>
    <w:rsid w:val="6F0F5F1F"/>
    <w:rsid w:val="6F186CF7"/>
    <w:rsid w:val="6F5A1035"/>
    <w:rsid w:val="6F5B477F"/>
    <w:rsid w:val="6F87154F"/>
    <w:rsid w:val="6FC4629E"/>
    <w:rsid w:val="6FF84BF7"/>
    <w:rsid w:val="70467231"/>
    <w:rsid w:val="706802A0"/>
    <w:rsid w:val="70AB5A2B"/>
    <w:rsid w:val="70B46409"/>
    <w:rsid w:val="70E17163"/>
    <w:rsid w:val="70F57014"/>
    <w:rsid w:val="716E5404"/>
    <w:rsid w:val="71A30557"/>
    <w:rsid w:val="71DB4B8E"/>
    <w:rsid w:val="7202154E"/>
    <w:rsid w:val="724A54B2"/>
    <w:rsid w:val="72685402"/>
    <w:rsid w:val="72801B03"/>
    <w:rsid w:val="7287521C"/>
    <w:rsid w:val="729B4924"/>
    <w:rsid w:val="72B61E75"/>
    <w:rsid w:val="72CA6CBB"/>
    <w:rsid w:val="72D422BA"/>
    <w:rsid w:val="72F1072D"/>
    <w:rsid w:val="72F13AD7"/>
    <w:rsid w:val="731F249B"/>
    <w:rsid w:val="73532145"/>
    <w:rsid w:val="7354705E"/>
    <w:rsid w:val="735817E6"/>
    <w:rsid w:val="738C30F5"/>
    <w:rsid w:val="73A8431B"/>
    <w:rsid w:val="73A95C08"/>
    <w:rsid w:val="73BE3A62"/>
    <w:rsid w:val="73C818F1"/>
    <w:rsid w:val="7405067B"/>
    <w:rsid w:val="74081051"/>
    <w:rsid w:val="74213FF1"/>
    <w:rsid w:val="742F6002"/>
    <w:rsid w:val="74560286"/>
    <w:rsid w:val="74624168"/>
    <w:rsid w:val="746A757A"/>
    <w:rsid w:val="74767B92"/>
    <w:rsid w:val="748443A7"/>
    <w:rsid w:val="748D67DC"/>
    <w:rsid w:val="74A316DF"/>
    <w:rsid w:val="74AB195F"/>
    <w:rsid w:val="750B2C6E"/>
    <w:rsid w:val="750B717B"/>
    <w:rsid w:val="7542737F"/>
    <w:rsid w:val="757919D1"/>
    <w:rsid w:val="75977F19"/>
    <w:rsid w:val="769D6952"/>
    <w:rsid w:val="76C33C31"/>
    <w:rsid w:val="76CE33B8"/>
    <w:rsid w:val="76F74738"/>
    <w:rsid w:val="77A45B4D"/>
    <w:rsid w:val="77B22462"/>
    <w:rsid w:val="783E6B71"/>
    <w:rsid w:val="786B745A"/>
    <w:rsid w:val="787A70C3"/>
    <w:rsid w:val="78AB42B5"/>
    <w:rsid w:val="791C0ACE"/>
    <w:rsid w:val="79A61C96"/>
    <w:rsid w:val="79C80651"/>
    <w:rsid w:val="7A06363D"/>
    <w:rsid w:val="7A083A37"/>
    <w:rsid w:val="7A0F4F44"/>
    <w:rsid w:val="7A140880"/>
    <w:rsid w:val="7A375AB4"/>
    <w:rsid w:val="7A390766"/>
    <w:rsid w:val="7A5C31C3"/>
    <w:rsid w:val="7AF538E7"/>
    <w:rsid w:val="7AFD5B77"/>
    <w:rsid w:val="7B5C2273"/>
    <w:rsid w:val="7B5D6D2A"/>
    <w:rsid w:val="7B7A4DF8"/>
    <w:rsid w:val="7BAA50E8"/>
    <w:rsid w:val="7BCD7A9F"/>
    <w:rsid w:val="7BF81636"/>
    <w:rsid w:val="7C2B0102"/>
    <w:rsid w:val="7C7A48D2"/>
    <w:rsid w:val="7C8E3A51"/>
    <w:rsid w:val="7CB77BE8"/>
    <w:rsid w:val="7CC36414"/>
    <w:rsid w:val="7D01060F"/>
    <w:rsid w:val="7D142945"/>
    <w:rsid w:val="7D347EA3"/>
    <w:rsid w:val="7D8D6A5D"/>
    <w:rsid w:val="7D8E7403"/>
    <w:rsid w:val="7DB40F20"/>
    <w:rsid w:val="7DC12ACC"/>
    <w:rsid w:val="7DF01919"/>
    <w:rsid w:val="7DFD2D39"/>
    <w:rsid w:val="7E0E2EA2"/>
    <w:rsid w:val="7E1B6D74"/>
    <w:rsid w:val="7E4B0351"/>
    <w:rsid w:val="7E9D479A"/>
    <w:rsid w:val="7EA60708"/>
    <w:rsid w:val="7EBC7738"/>
    <w:rsid w:val="7ED1476A"/>
    <w:rsid w:val="7EE0412F"/>
    <w:rsid w:val="7F850641"/>
    <w:rsid w:val="7F8835F2"/>
    <w:rsid w:val="7F8F72D3"/>
    <w:rsid w:val="7FE91E97"/>
    <w:rsid w:val="7FFE59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2"/>
      <w:lang w:val="en-US" w:eastAsia="zh-CN" w:bidi="ar-SA"/>
    </w:rPr>
  </w:style>
  <w:style w:type="paragraph" w:styleId="2">
    <w:name w:val="heading 1"/>
    <w:next w:val="1"/>
    <w:link w:val="27"/>
    <w:qFormat/>
    <w:uiPriority w:val="9"/>
    <w:pPr>
      <w:keepNext/>
      <w:keepLines/>
      <w:spacing w:before="340" w:after="330" w:line="578" w:lineRule="auto"/>
      <w:outlineLvl w:val="0"/>
    </w:pPr>
    <w:rPr>
      <w:rFonts w:ascii="黑体" w:eastAsia="黑体" w:hAnsiTheme="minorHAnsi" w:cstheme="minorBidi"/>
      <w:bCs/>
      <w:kern w:val="44"/>
      <w:sz w:val="32"/>
      <w:szCs w:val="44"/>
      <w:lang w:val="en-US" w:eastAsia="zh-CN" w:bidi="ar-SA"/>
    </w:rPr>
  </w:style>
  <w:style w:type="paragraph" w:styleId="3">
    <w:name w:val="heading 2"/>
    <w:basedOn w:val="4"/>
    <w:next w:val="5"/>
    <w:link w:val="28"/>
    <w:unhideWhenUsed/>
    <w:qFormat/>
    <w:uiPriority w:val="9"/>
    <w:pPr>
      <w:keepNext/>
      <w:keepLines/>
      <w:spacing w:before="260" w:after="260" w:line="416" w:lineRule="auto"/>
      <w:outlineLvl w:val="1"/>
    </w:pPr>
    <w:rPr>
      <w:rFonts w:ascii="黑体" w:hAnsiTheme="majorHAnsi" w:cstheme="majorBidi"/>
      <w:sz w:val="32"/>
      <w:szCs w:val="32"/>
    </w:rPr>
  </w:style>
  <w:style w:type="paragraph" w:styleId="6">
    <w:name w:val="heading 3"/>
    <w:basedOn w:val="4"/>
    <w:next w:val="1"/>
    <w:link w:val="29"/>
    <w:unhideWhenUsed/>
    <w:qFormat/>
    <w:uiPriority w:val="9"/>
    <w:pPr>
      <w:keepNext/>
      <w:keepLines/>
      <w:spacing w:before="260" w:after="260" w:line="416" w:lineRule="auto"/>
      <w:outlineLvl w:val="2"/>
    </w:pPr>
    <w:rPr>
      <w:rFonts w:ascii="黑体" w:hAnsiTheme="minorHAnsi" w:cstheme="minorBidi"/>
      <w:sz w:val="32"/>
      <w:szCs w:val="32"/>
    </w:rPr>
  </w:style>
  <w:style w:type="paragraph" w:styleId="7">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Title"/>
    <w:basedOn w:val="1"/>
    <w:qFormat/>
    <w:uiPriority w:val="0"/>
    <w:pPr>
      <w:spacing w:before="240" w:after="60"/>
      <w:jc w:val="left"/>
      <w:outlineLvl w:val="0"/>
    </w:pPr>
    <w:rPr>
      <w:rFonts w:ascii="华文中宋" w:hAnsi="华文中宋" w:eastAsia="黑体" w:cs="Arial"/>
      <w:bCs/>
      <w:sz w:val="30"/>
      <w:szCs w:val="30"/>
    </w:rPr>
  </w:style>
  <w:style w:type="paragraph" w:customStyle="1" w:styleId="5">
    <w:name w:val="正文首行缩进1"/>
    <w:basedOn w:val="1"/>
    <w:qFormat/>
    <w:uiPriority w:val="0"/>
    <w:pPr>
      <w:spacing w:line="360" w:lineRule="auto"/>
      <w:ind w:firstLine="420" w:firstLineChars="200"/>
      <w:jc w:val="left"/>
    </w:pPr>
    <w:rPr>
      <w:rFonts w:ascii="宋体" w:hAnsi="宋体"/>
      <w:sz w:val="24"/>
    </w:rPr>
  </w:style>
  <w:style w:type="paragraph" w:styleId="8">
    <w:name w:val="annotation text"/>
    <w:basedOn w:val="1"/>
    <w:link w:val="36"/>
    <w:semiHidden/>
    <w:unhideWhenUsed/>
    <w:qFormat/>
    <w:uiPriority w:val="99"/>
    <w:pPr>
      <w:jc w:val="left"/>
    </w:pPr>
  </w:style>
  <w:style w:type="paragraph" w:styleId="9">
    <w:name w:val="Body Text"/>
    <w:basedOn w:val="1"/>
    <w:qFormat/>
    <w:uiPriority w:val="1"/>
    <w:rPr>
      <w:rFonts w:ascii="仿宋" w:hAnsi="仿宋" w:eastAsia="仿宋" w:cs="仿宋"/>
      <w:szCs w:val="32"/>
      <w:lang w:val="zh-CN" w:bidi="zh-CN"/>
    </w:rPr>
  </w:style>
  <w:style w:type="paragraph" w:styleId="10">
    <w:name w:val="toc 3"/>
    <w:basedOn w:val="1"/>
    <w:next w:val="1"/>
    <w:unhideWhenUsed/>
    <w:qFormat/>
    <w:uiPriority w:val="39"/>
    <w:pPr>
      <w:ind w:left="840" w:leftChars="400"/>
    </w:pPr>
  </w:style>
  <w:style w:type="paragraph" w:styleId="11">
    <w:name w:val="Date"/>
    <w:basedOn w:val="1"/>
    <w:next w:val="1"/>
    <w:link w:val="31"/>
    <w:semiHidden/>
    <w:unhideWhenUsed/>
    <w:qFormat/>
    <w:uiPriority w:val="99"/>
    <w:pPr>
      <w:ind w:left="100" w:leftChars="2500"/>
    </w:pPr>
  </w:style>
  <w:style w:type="paragraph" w:styleId="12">
    <w:name w:val="Balloon Text"/>
    <w:basedOn w:val="1"/>
    <w:link w:val="33"/>
    <w:semiHidden/>
    <w:unhideWhenUsed/>
    <w:qFormat/>
    <w:uiPriority w:val="99"/>
    <w:rPr>
      <w:sz w:val="18"/>
      <w:szCs w:val="18"/>
    </w:rPr>
  </w:style>
  <w:style w:type="paragraph" w:styleId="13">
    <w:name w:val="footer"/>
    <w:basedOn w:val="1"/>
    <w:link w:val="26"/>
    <w:unhideWhenUsed/>
    <w:qFormat/>
    <w:uiPriority w:val="99"/>
    <w:pPr>
      <w:tabs>
        <w:tab w:val="center" w:pos="4153"/>
        <w:tab w:val="right" w:pos="8306"/>
      </w:tabs>
      <w:snapToGrid w:val="0"/>
      <w:jc w:val="left"/>
    </w:pPr>
    <w:rPr>
      <w:sz w:val="18"/>
      <w:szCs w:val="18"/>
    </w:rPr>
  </w:style>
  <w:style w:type="paragraph" w:styleId="14">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pacing w:line="360" w:lineRule="auto"/>
    </w:pPr>
    <w:rPr>
      <w:b/>
      <w:sz w:val="24"/>
      <w:szCs w:val="24"/>
    </w:rPr>
  </w:style>
  <w:style w:type="paragraph" w:styleId="16">
    <w:name w:val="toc 2"/>
    <w:basedOn w:val="1"/>
    <w:next w:val="1"/>
    <w:unhideWhenUsed/>
    <w:qFormat/>
    <w:uiPriority w:val="39"/>
    <w:pPr>
      <w:ind w:left="420" w:leftChars="200"/>
    </w:pPr>
  </w:style>
  <w:style w:type="paragraph" w:styleId="17">
    <w:name w:val="Normal (Web)"/>
    <w:basedOn w:val="1"/>
    <w:next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8">
    <w:name w:val="annotation subject"/>
    <w:basedOn w:val="8"/>
    <w:next w:val="8"/>
    <w:link w:val="37"/>
    <w:semiHidden/>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character" w:customStyle="1" w:styleId="25">
    <w:name w:val="页眉 Char"/>
    <w:basedOn w:val="21"/>
    <w:link w:val="14"/>
    <w:qFormat/>
    <w:uiPriority w:val="99"/>
    <w:rPr>
      <w:sz w:val="18"/>
      <w:szCs w:val="18"/>
    </w:rPr>
  </w:style>
  <w:style w:type="character" w:customStyle="1" w:styleId="26">
    <w:name w:val="页脚 Char"/>
    <w:basedOn w:val="21"/>
    <w:link w:val="13"/>
    <w:qFormat/>
    <w:uiPriority w:val="99"/>
    <w:rPr>
      <w:sz w:val="18"/>
      <w:szCs w:val="18"/>
    </w:rPr>
  </w:style>
  <w:style w:type="character" w:customStyle="1" w:styleId="27">
    <w:name w:val="标题 1 Char"/>
    <w:basedOn w:val="21"/>
    <w:link w:val="2"/>
    <w:qFormat/>
    <w:uiPriority w:val="9"/>
    <w:rPr>
      <w:rFonts w:ascii="黑体" w:eastAsia="黑体"/>
      <w:bCs/>
      <w:kern w:val="44"/>
      <w:sz w:val="32"/>
      <w:szCs w:val="44"/>
    </w:rPr>
  </w:style>
  <w:style w:type="character" w:customStyle="1" w:styleId="28">
    <w:name w:val="标题 2 Char"/>
    <w:basedOn w:val="21"/>
    <w:link w:val="3"/>
    <w:qFormat/>
    <w:uiPriority w:val="9"/>
    <w:rPr>
      <w:rFonts w:ascii="黑体" w:eastAsia="黑体" w:hAnsiTheme="majorHAnsi" w:cstheme="majorBidi"/>
      <w:kern w:val="2"/>
      <w:sz w:val="32"/>
      <w:szCs w:val="32"/>
    </w:rPr>
  </w:style>
  <w:style w:type="character" w:customStyle="1" w:styleId="29">
    <w:name w:val="标题 3 Char"/>
    <w:basedOn w:val="21"/>
    <w:link w:val="6"/>
    <w:qFormat/>
    <w:uiPriority w:val="9"/>
    <w:rPr>
      <w:rFonts w:ascii="黑体" w:eastAsia="黑体"/>
      <w:bCs/>
      <w:kern w:val="2"/>
      <w:sz w:val="32"/>
      <w:szCs w:val="32"/>
    </w:rPr>
  </w:style>
  <w:style w:type="character" w:customStyle="1" w:styleId="30">
    <w:name w:val="标题 4 Char"/>
    <w:basedOn w:val="21"/>
    <w:link w:val="7"/>
    <w:qFormat/>
    <w:uiPriority w:val="9"/>
    <w:rPr>
      <w:rFonts w:asciiTheme="majorHAnsi" w:hAnsiTheme="majorHAnsi" w:eastAsiaTheme="majorEastAsia" w:cstheme="majorBidi"/>
      <w:b/>
      <w:bCs/>
      <w:sz w:val="28"/>
      <w:szCs w:val="28"/>
    </w:rPr>
  </w:style>
  <w:style w:type="character" w:customStyle="1" w:styleId="31">
    <w:name w:val="日期 Char"/>
    <w:basedOn w:val="21"/>
    <w:link w:val="11"/>
    <w:semiHidden/>
    <w:qFormat/>
    <w:uiPriority w:val="99"/>
  </w:style>
  <w:style w:type="paragraph" w:styleId="32">
    <w:name w:val="List Paragraph"/>
    <w:basedOn w:val="1"/>
    <w:qFormat/>
    <w:uiPriority w:val="34"/>
    <w:pPr>
      <w:ind w:firstLine="420" w:firstLineChars="200"/>
    </w:pPr>
  </w:style>
  <w:style w:type="character" w:customStyle="1" w:styleId="33">
    <w:name w:val="批注框文本 Char"/>
    <w:basedOn w:val="21"/>
    <w:link w:val="12"/>
    <w:semiHidden/>
    <w:qFormat/>
    <w:uiPriority w:val="99"/>
    <w:rPr>
      <w:sz w:val="18"/>
      <w:szCs w:val="18"/>
    </w:rPr>
  </w:style>
  <w:style w:type="paragraph" w:customStyle="1" w:styleId="34">
    <w:name w:val="正文首行缩进 21"/>
    <w:basedOn w:val="35"/>
    <w:next w:val="17"/>
    <w:qFormat/>
    <w:uiPriority w:val="0"/>
    <w:pPr>
      <w:widowControl/>
      <w:ind w:firstLine="200" w:firstLineChars="200"/>
      <w:jc w:val="left"/>
    </w:pPr>
    <w:rPr>
      <w:rFonts w:cs="Calibri"/>
      <w:kern w:val="0"/>
      <w:sz w:val="24"/>
    </w:rPr>
  </w:style>
  <w:style w:type="paragraph" w:customStyle="1" w:styleId="35">
    <w:name w:val="正文文本缩进1"/>
    <w:basedOn w:val="1"/>
    <w:qFormat/>
    <w:uiPriority w:val="0"/>
    <w:pPr>
      <w:ind w:left="200" w:leftChars="200"/>
    </w:pPr>
  </w:style>
  <w:style w:type="character" w:customStyle="1" w:styleId="36">
    <w:name w:val="批注文字 Char"/>
    <w:basedOn w:val="21"/>
    <w:link w:val="8"/>
    <w:semiHidden/>
    <w:qFormat/>
    <w:uiPriority w:val="99"/>
    <w:rPr>
      <w:rFonts w:eastAsia="仿宋_GB2312"/>
      <w:kern w:val="2"/>
      <w:sz w:val="32"/>
      <w:szCs w:val="22"/>
    </w:rPr>
  </w:style>
  <w:style w:type="character" w:customStyle="1" w:styleId="37">
    <w:name w:val="批注主题 Char"/>
    <w:basedOn w:val="36"/>
    <w:link w:val="18"/>
    <w:semiHidden/>
    <w:qFormat/>
    <w:uiPriority w:val="99"/>
    <w:rPr>
      <w:rFonts w:eastAsia="仿宋_GB2312"/>
      <w:b/>
      <w:bCs/>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sv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5845D-0B81-426E-9005-4D9A268F9C7E}">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88</Pages>
  <Words>32067</Words>
  <Characters>36130</Characters>
  <Lines>164</Lines>
  <Paragraphs>46</Paragraphs>
  <TotalTime>6</TotalTime>
  <ScaleCrop>false</ScaleCrop>
  <LinksUpToDate>false</LinksUpToDate>
  <CharactersWithSpaces>36427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2022-06-28T10:26:00Z</dcterms:created>
  <dc:creator>ping song</dc:creator>
  <cp:lastModifiedBy>Administrator</cp:lastModifiedBy>
  <cp:lastPrinted>2022-06-14T07:45:00Z</cp:lastPrinted>
  <dcterms:modified xsi:type="dcterms:W3CDTF">2023-03-07T06:50:16Z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C163DD939CFA44D9B3901D463CB891DE</vt:lpwstr>
  </property>
  <property fmtid="{D5CDD505-2E9C-101B-9397-08002B2CF9AE}" pid="4" name="commondata">
    <vt:lpwstr>eyJoZGlkIjoiMzMxNTQ1NmE1MDQ5MzdiZGY3MDE0OWFhNWVmNmFjZDYifQ==</vt:lpwstr>
  </property>
</Properties>
</file>