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sz w:val="44"/>
          <w:szCs w:val="44"/>
        </w:rPr>
      </w:pPr>
      <w:bookmarkStart w:id="1" w:name="_GoBack"/>
      <w:bookmarkStart w:id="0" w:name="_Toc24724723"/>
      <w:r>
        <w:rPr>
          <w:rFonts w:hint="eastAsia" w:ascii="微软雅黑" w:hAnsi="微软雅黑" w:eastAsia="微软雅黑" w:cs="微软雅黑"/>
          <w:sz w:val="44"/>
          <w:szCs w:val="44"/>
        </w:rPr>
        <w:t>安全生产领域基层政务公开标准目录</w:t>
      </w:r>
    </w:p>
    <w:bookmarkEnd w:id="1"/>
    <w:p>
      <w:pPr>
        <w:jc w:val="center"/>
        <w:rPr>
          <w:rFonts w:ascii="黑体" w:hAnsi="黑体" w:eastAsia="黑体"/>
          <w:sz w:val="18"/>
          <w:szCs w:val="18"/>
        </w:rPr>
      </w:pPr>
    </w:p>
    <w:tbl>
      <w:tblPr>
        <w:tblStyle w:val="6"/>
        <w:tblW w:w="156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6"/>
        <w:gridCol w:w="850"/>
        <w:gridCol w:w="1701"/>
        <w:gridCol w:w="1843"/>
        <w:gridCol w:w="2126"/>
        <w:gridCol w:w="1701"/>
        <w:gridCol w:w="1134"/>
        <w:gridCol w:w="1276"/>
        <w:gridCol w:w="705"/>
        <w:gridCol w:w="567"/>
        <w:gridCol w:w="567"/>
        <w:gridCol w:w="709"/>
        <w:gridCol w:w="567"/>
        <w:gridCol w:w="567"/>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vMerge w:val="restart"/>
            <w:shd w:val="clear" w:color="auto" w:fill="auto"/>
            <w:vAlign w:val="center"/>
          </w:tcPr>
          <w:p>
            <w:pPr>
              <w:widowControl/>
              <w:jc w:val="center"/>
              <w:rPr>
                <w:rFonts w:ascii="仿宋" w:hAnsi="仿宋" w:eastAsia="仿宋"/>
                <w:b/>
                <w:color w:val="000000"/>
                <w:kern w:val="0"/>
                <w:sz w:val="15"/>
                <w:szCs w:val="15"/>
              </w:rPr>
            </w:pPr>
            <w:r>
              <w:rPr>
                <w:rFonts w:hint="eastAsia" w:ascii="仿宋" w:hAnsi="仿宋" w:eastAsia="仿宋"/>
                <w:b/>
                <w:color w:val="000000"/>
                <w:kern w:val="0"/>
                <w:sz w:val="15"/>
                <w:szCs w:val="15"/>
              </w:rPr>
              <w:t>序号</w:t>
            </w:r>
          </w:p>
        </w:tc>
        <w:tc>
          <w:tcPr>
            <w:tcW w:w="2551" w:type="dxa"/>
            <w:gridSpan w:val="2"/>
            <w:shd w:val="clear" w:color="auto" w:fill="auto"/>
            <w:vAlign w:val="center"/>
          </w:tcPr>
          <w:p>
            <w:pPr>
              <w:widowControl/>
              <w:jc w:val="center"/>
              <w:rPr>
                <w:rFonts w:ascii="仿宋" w:hAnsi="仿宋" w:eastAsia="仿宋" w:cs="宋体"/>
                <w:b/>
                <w:color w:val="000000"/>
                <w:kern w:val="0"/>
                <w:sz w:val="15"/>
                <w:szCs w:val="15"/>
              </w:rPr>
            </w:pPr>
            <w:r>
              <w:rPr>
                <w:rFonts w:hint="eastAsia" w:ascii="仿宋" w:hAnsi="仿宋" w:eastAsia="仿宋" w:cs="宋体"/>
                <w:b/>
                <w:color w:val="000000"/>
                <w:kern w:val="0"/>
                <w:sz w:val="15"/>
                <w:szCs w:val="15"/>
              </w:rPr>
              <w:t>公开事项</w:t>
            </w:r>
          </w:p>
        </w:tc>
        <w:tc>
          <w:tcPr>
            <w:tcW w:w="1843" w:type="dxa"/>
            <w:vMerge w:val="restart"/>
            <w:shd w:val="clear" w:color="auto" w:fill="auto"/>
            <w:vAlign w:val="center"/>
          </w:tcPr>
          <w:p>
            <w:pPr>
              <w:widowControl/>
              <w:jc w:val="center"/>
              <w:rPr>
                <w:rFonts w:ascii="仿宋" w:hAnsi="仿宋" w:eastAsia="仿宋" w:cs="宋体"/>
                <w:b/>
                <w:color w:val="000000"/>
                <w:kern w:val="0"/>
                <w:sz w:val="15"/>
                <w:szCs w:val="15"/>
              </w:rPr>
            </w:pPr>
            <w:r>
              <w:rPr>
                <w:rFonts w:hint="eastAsia" w:ascii="仿宋" w:hAnsi="仿宋" w:eastAsia="仿宋" w:cs="宋体"/>
                <w:b/>
                <w:color w:val="000000"/>
                <w:kern w:val="0"/>
                <w:sz w:val="15"/>
                <w:szCs w:val="15"/>
              </w:rPr>
              <w:t>公开内容（要素）</w:t>
            </w:r>
          </w:p>
        </w:tc>
        <w:tc>
          <w:tcPr>
            <w:tcW w:w="2126" w:type="dxa"/>
            <w:vMerge w:val="restart"/>
            <w:shd w:val="clear" w:color="auto" w:fill="auto"/>
            <w:vAlign w:val="center"/>
          </w:tcPr>
          <w:p>
            <w:pPr>
              <w:widowControl/>
              <w:spacing w:line="0" w:lineRule="atLeast"/>
              <w:jc w:val="center"/>
              <w:rPr>
                <w:rFonts w:ascii="仿宋" w:hAnsi="仿宋" w:eastAsia="仿宋" w:cs="宋体"/>
                <w:b/>
                <w:color w:val="000000"/>
                <w:kern w:val="0"/>
                <w:sz w:val="15"/>
                <w:szCs w:val="15"/>
              </w:rPr>
            </w:pPr>
            <w:r>
              <w:rPr>
                <w:rFonts w:hint="eastAsia" w:ascii="仿宋" w:hAnsi="仿宋" w:eastAsia="仿宋" w:cs="宋体"/>
                <w:b/>
                <w:color w:val="000000"/>
                <w:kern w:val="0"/>
                <w:sz w:val="15"/>
                <w:szCs w:val="15"/>
              </w:rPr>
              <w:t>公开</w:t>
            </w:r>
          </w:p>
          <w:p>
            <w:pPr>
              <w:widowControl/>
              <w:spacing w:line="0" w:lineRule="atLeast"/>
              <w:jc w:val="center"/>
              <w:rPr>
                <w:rFonts w:ascii="仿宋" w:hAnsi="仿宋" w:eastAsia="仿宋" w:cs="宋体"/>
                <w:b/>
                <w:color w:val="000000"/>
                <w:kern w:val="0"/>
                <w:sz w:val="15"/>
                <w:szCs w:val="15"/>
              </w:rPr>
            </w:pPr>
            <w:r>
              <w:rPr>
                <w:rFonts w:hint="eastAsia" w:ascii="仿宋" w:hAnsi="仿宋" w:eastAsia="仿宋" w:cs="宋体"/>
                <w:b/>
                <w:color w:val="000000"/>
                <w:kern w:val="0"/>
                <w:sz w:val="15"/>
                <w:szCs w:val="15"/>
              </w:rPr>
              <w:t>依据</w:t>
            </w:r>
          </w:p>
        </w:tc>
        <w:tc>
          <w:tcPr>
            <w:tcW w:w="1701" w:type="dxa"/>
            <w:vMerge w:val="restart"/>
            <w:shd w:val="clear" w:color="auto" w:fill="auto"/>
            <w:vAlign w:val="center"/>
          </w:tcPr>
          <w:p>
            <w:pPr>
              <w:widowControl/>
              <w:spacing w:line="0" w:lineRule="atLeast"/>
              <w:jc w:val="center"/>
              <w:rPr>
                <w:rFonts w:ascii="仿宋" w:hAnsi="仿宋" w:eastAsia="仿宋" w:cs="宋体"/>
                <w:b/>
                <w:color w:val="000000"/>
                <w:kern w:val="0"/>
                <w:sz w:val="15"/>
                <w:szCs w:val="15"/>
              </w:rPr>
            </w:pPr>
            <w:r>
              <w:rPr>
                <w:rFonts w:hint="eastAsia" w:ascii="仿宋" w:hAnsi="仿宋" w:eastAsia="仿宋" w:cs="宋体"/>
                <w:b/>
                <w:color w:val="000000"/>
                <w:kern w:val="0"/>
                <w:sz w:val="15"/>
                <w:szCs w:val="15"/>
              </w:rPr>
              <w:t>公开</w:t>
            </w:r>
          </w:p>
          <w:p>
            <w:pPr>
              <w:widowControl/>
              <w:spacing w:line="0" w:lineRule="atLeast"/>
              <w:jc w:val="center"/>
              <w:rPr>
                <w:rFonts w:ascii="仿宋" w:hAnsi="仿宋" w:eastAsia="仿宋" w:cs="宋体"/>
                <w:b/>
                <w:color w:val="000000"/>
                <w:kern w:val="0"/>
                <w:sz w:val="15"/>
                <w:szCs w:val="15"/>
              </w:rPr>
            </w:pPr>
            <w:r>
              <w:rPr>
                <w:rFonts w:hint="eastAsia" w:ascii="仿宋" w:hAnsi="仿宋" w:eastAsia="仿宋" w:cs="宋体"/>
                <w:b/>
                <w:color w:val="000000"/>
                <w:kern w:val="0"/>
                <w:sz w:val="15"/>
                <w:szCs w:val="15"/>
              </w:rPr>
              <w:t>时限</w:t>
            </w:r>
          </w:p>
        </w:tc>
        <w:tc>
          <w:tcPr>
            <w:tcW w:w="1134" w:type="dxa"/>
            <w:vMerge w:val="restart"/>
            <w:shd w:val="clear" w:color="auto" w:fill="auto"/>
            <w:vAlign w:val="center"/>
          </w:tcPr>
          <w:p>
            <w:pPr>
              <w:widowControl/>
              <w:spacing w:line="0" w:lineRule="atLeast"/>
              <w:jc w:val="center"/>
              <w:rPr>
                <w:rFonts w:ascii="仿宋" w:hAnsi="仿宋" w:eastAsia="仿宋" w:cs="宋体"/>
                <w:b/>
                <w:color w:val="000000"/>
                <w:kern w:val="0"/>
                <w:sz w:val="15"/>
                <w:szCs w:val="15"/>
              </w:rPr>
            </w:pPr>
            <w:r>
              <w:rPr>
                <w:rFonts w:hint="eastAsia" w:ascii="仿宋" w:hAnsi="仿宋" w:eastAsia="仿宋" w:cs="宋体"/>
                <w:b/>
                <w:color w:val="000000"/>
                <w:kern w:val="0"/>
                <w:sz w:val="15"/>
                <w:szCs w:val="15"/>
              </w:rPr>
              <w:t>公开</w:t>
            </w:r>
          </w:p>
          <w:p>
            <w:pPr>
              <w:widowControl/>
              <w:spacing w:line="0" w:lineRule="atLeast"/>
              <w:jc w:val="center"/>
              <w:rPr>
                <w:rFonts w:ascii="仿宋" w:hAnsi="仿宋" w:eastAsia="仿宋" w:cs="宋体"/>
                <w:b/>
                <w:color w:val="000000"/>
                <w:kern w:val="0"/>
                <w:sz w:val="15"/>
                <w:szCs w:val="15"/>
              </w:rPr>
            </w:pPr>
            <w:r>
              <w:rPr>
                <w:rFonts w:hint="eastAsia" w:ascii="仿宋" w:hAnsi="仿宋" w:eastAsia="仿宋" w:cs="宋体"/>
                <w:b/>
                <w:color w:val="000000"/>
                <w:kern w:val="0"/>
                <w:sz w:val="15"/>
                <w:szCs w:val="15"/>
              </w:rPr>
              <w:t>主体</w:t>
            </w:r>
          </w:p>
        </w:tc>
        <w:tc>
          <w:tcPr>
            <w:tcW w:w="1276" w:type="dxa"/>
            <w:vMerge w:val="restart"/>
            <w:shd w:val="clear" w:color="auto" w:fill="auto"/>
            <w:vAlign w:val="center"/>
          </w:tcPr>
          <w:p>
            <w:pPr>
              <w:widowControl/>
              <w:spacing w:line="0" w:lineRule="atLeast"/>
              <w:jc w:val="center"/>
              <w:rPr>
                <w:rFonts w:ascii="仿宋" w:hAnsi="仿宋" w:eastAsia="仿宋" w:cs="宋体"/>
                <w:b/>
                <w:kern w:val="0"/>
                <w:sz w:val="15"/>
                <w:szCs w:val="15"/>
              </w:rPr>
            </w:pPr>
            <w:r>
              <w:rPr>
                <w:rFonts w:hint="eastAsia" w:ascii="仿宋" w:hAnsi="仿宋" w:eastAsia="仿宋" w:cs="宋体"/>
                <w:b/>
                <w:kern w:val="0"/>
                <w:sz w:val="15"/>
                <w:szCs w:val="15"/>
              </w:rPr>
              <w:t>公开渠道和</w:t>
            </w:r>
          </w:p>
          <w:p>
            <w:pPr>
              <w:widowControl/>
              <w:spacing w:line="0" w:lineRule="atLeast"/>
              <w:jc w:val="center"/>
              <w:rPr>
                <w:rFonts w:ascii="仿宋" w:hAnsi="仿宋" w:eastAsia="仿宋" w:cs="宋体"/>
                <w:b/>
                <w:kern w:val="0"/>
                <w:sz w:val="15"/>
                <w:szCs w:val="15"/>
              </w:rPr>
            </w:pPr>
            <w:r>
              <w:rPr>
                <w:rFonts w:hint="eastAsia" w:ascii="仿宋" w:hAnsi="仿宋" w:eastAsia="仿宋" w:cs="宋体"/>
                <w:b/>
                <w:kern w:val="0"/>
                <w:sz w:val="15"/>
                <w:szCs w:val="15"/>
              </w:rPr>
              <w:t>载体</w:t>
            </w:r>
          </w:p>
        </w:tc>
        <w:tc>
          <w:tcPr>
            <w:tcW w:w="1272" w:type="dxa"/>
            <w:gridSpan w:val="2"/>
            <w:shd w:val="clear" w:color="auto" w:fill="auto"/>
            <w:vAlign w:val="center"/>
          </w:tcPr>
          <w:p>
            <w:pPr>
              <w:widowControl/>
              <w:jc w:val="center"/>
              <w:rPr>
                <w:rFonts w:ascii="仿宋" w:hAnsi="仿宋" w:eastAsia="仿宋" w:cs="宋体"/>
                <w:b/>
                <w:color w:val="000000"/>
                <w:kern w:val="0"/>
                <w:sz w:val="15"/>
                <w:szCs w:val="15"/>
              </w:rPr>
            </w:pPr>
            <w:r>
              <w:rPr>
                <w:rFonts w:hint="eastAsia" w:ascii="仿宋" w:hAnsi="仿宋" w:eastAsia="仿宋" w:cs="宋体"/>
                <w:b/>
                <w:color w:val="000000"/>
                <w:kern w:val="0"/>
                <w:sz w:val="15"/>
                <w:szCs w:val="15"/>
              </w:rPr>
              <w:t>公开对象</w:t>
            </w:r>
          </w:p>
        </w:tc>
        <w:tc>
          <w:tcPr>
            <w:tcW w:w="1276" w:type="dxa"/>
            <w:gridSpan w:val="2"/>
            <w:shd w:val="clear" w:color="auto" w:fill="auto"/>
            <w:vAlign w:val="center"/>
          </w:tcPr>
          <w:p>
            <w:pPr>
              <w:widowControl/>
              <w:jc w:val="center"/>
              <w:rPr>
                <w:rFonts w:ascii="仿宋" w:hAnsi="仿宋" w:eastAsia="仿宋" w:cs="宋体"/>
                <w:b/>
                <w:color w:val="000000"/>
                <w:kern w:val="0"/>
                <w:sz w:val="15"/>
                <w:szCs w:val="15"/>
              </w:rPr>
            </w:pPr>
            <w:r>
              <w:rPr>
                <w:rFonts w:hint="eastAsia" w:ascii="仿宋" w:hAnsi="仿宋" w:eastAsia="仿宋" w:cs="宋体"/>
                <w:b/>
                <w:color w:val="000000"/>
                <w:kern w:val="0"/>
                <w:sz w:val="15"/>
                <w:szCs w:val="15"/>
              </w:rPr>
              <w:t>公开方式</w:t>
            </w:r>
          </w:p>
        </w:tc>
        <w:tc>
          <w:tcPr>
            <w:tcW w:w="1134" w:type="dxa"/>
            <w:gridSpan w:val="2"/>
            <w:shd w:val="clear" w:color="auto" w:fill="auto"/>
            <w:vAlign w:val="center"/>
          </w:tcPr>
          <w:p>
            <w:pPr>
              <w:widowControl/>
              <w:jc w:val="center"/>
              <w:rPr>
                <w:rFonts w:ascii="仿宋" w:hAnsi="仿宋" w:eastAsia="仿宋" w:cs="宋体"/>
                <w:b/>
                <w:color w:val="000000"/>
                <w:kern w:val="0"/>
                <w:sz w:val="15"/>
                <w:szCs w:val="15"/>
              </w:rPr>
            </w:pPr>
            <w:r>
              <w:rPr>
                <w:rFonts w:hint="eastAsia" w:ascii="仿宋" w:hAnsi="仿宋" w:eastAsia="仿宋" w:cs="宋体"/>
                <w:b/>
                <w:color w:val="000000"/>
                <w:kern w:val="0"/>
                <w:sz w:val="15"/>
                <w:szCs w:val="15"/>
              </w:rPr>
              <w:t>公开层级</w:t>
            </w:r>
          </w:p>
        </w:tc>
        <w:tc>
          <w:tcPr>
            <w:tcW w:w="709" w:type="dxa"/>
            <w:vMerge w:val="restart"/>
            <w:vAlign w:val="center"/>
          </w:tcPr>
          <w:p>
            <w:pPr>
              <w:widowControl/>
              <w:jc w:val="center"/>
              <w:rPr>
                <w:rFonts w:ascii="仿宋" w:hAnsi="仿宋" w:eastAsia="仿宋" w:cs="宋体"/>
                <w:b/>
                <w:color w:val="000000"/>
                <w:kern w:val="0"/>
                <w:sz w:val="15"/>
                <w:szCs w:val="15"/>
              </w:rPr>
            </w:pPr>
            <w:r>
              <w:rPr>
                <w:rFonts w:hint="eastAsia" w:ascii="仿宋" w:hAnsi="仿宋" w:eastAsia="仿宋" w:cs="宋体"/>
                <w:b/>
                <w:color w:val="000000"/>
                <w:kern w:val="0"/>
                <w:sz w:val="15"/>
                <w:szCs w:val="15"/>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vMerge w:val="continue"/>
            <w:shd w:val="clear" w:color="auto" w:fill="auto"/>
            <w:vAlign w:val="center"/>
          </w:tcPr>
          <w:p>
            <w:pPr>
              <w:widowControl/>
              <w:jc w:val="center"/>
              <w:rPr>
                <w:rFonts w:ascii="仿宋" w:hAnsi="仿宋" w:eastAsia="仿宋"/>
                <w:b/>
                <w:color w:val="000000"/>
                <w:kern w:val="0"/>
                <w:sz w:val="15"/>
                <w:szCs w:val="15"/>
              </w:rPr>
            </w:pPr>
          </w:p>
        </w:tc>
        <w:tc>
          <w:tcPr>
            <w:tcW w:w="850" w:type="dxa"/>
            <w:shd w:val="clear" w:color="auto" w:fill="auto"/>
            <w:vAlign w:val="center"/>
          </w:tcPr>
          <w:p>
            <w:pPr>
              <w:widowControl/>
              <w:spacing w:line="0" w:lineRule="atLeast"/>
              <w:jc w:val="center"/>
              <w:rPr>
                <w:rFonts w:ascii="仿宋" w:hAnsi="仿宋" w:eastAsia="仿宋" w:cs="宋体"/>
                <w:b/>
                <w:color w:val="000000"/>
                <w:kern w:val="0"/>
                <w:sz w:val="15"/>
                <w:szCs w:val="15"/>
              </w:rPr>
            </w:pPr>
            <w:r>
              <w:rPr>
                <w:rFonts w:hint="eastAsia" w:ascii="仿宋" w:hAnsi="仿宋" w:eastAsia="仿宋" w:cs="宋体"/>
                <w:b/>
                <w:color w:val="000000"/>
                <w:kern w:val="0"/>
                <w:sz w:val="15"/>
                <w:szCs w:val="15"/>
              </w:rPr>
              <w:t>一级</w:t>
            </w:r>
          </w:p>
          <w:p>
            <w:pPr>
              <w:widowControl/>
              <w:spacing w:line="0" w:lineRule="atLeast"/>
              <w:jc w:val="center"/>
              <w:rPr>
                <w:rFonts w:ascii="仿宋" w:hAnsi="仿宋" w:eastAsia="仿宋" w:cs="宋体"/>
                <w:b/>
                <w:color w:val="000000"/>
                <w:kern w:val="0"/>
                <w:sz w:val="15"/>
                <w:szCs w:val="15"/>
              </w:rPr>
            </w:pPr>
            <w:r>
              <w:rPr>
                <w:rFonts w:hint="eastAsia" w:ascii="仿宋" w:hAnsi="仿宋" w:eastAsia="仿宋" w:cs="宋体"/>
                <w:b/>
                <w:color w:val="000000"/>
                <w:kern w:val="0"/>
                <w:sz w:val="15"/>
                <w:szCs w:val="15"/>
              </w:rPr>
              <w:t>事项</w:t>
            </w:r>
          </w:p>
        </w:tc>
        <w:tc>
          <w:tcPr>
            <w:tcW w:w="1701" w:type="dxa"/>
            <w:shd w:val="clear" w:color="auto" w:fill="auto"/>
            <w:vAlign w:val="center"/>
          </w:tcPr>
          <w:p>
            <w:pPr>
              <w:widowControl/>
              <w:spacing w:line="0" w:lineRule="atLeast"/>
              <w:jc w:val="center"/>
              <w:rPr>
                <w:rFonts w:ascii="仿宋" w:hAnsi="仿宋" w:eastAsia="仿宋" w:cs="宋体"/>
                <w:b/>
                <w:color w:val="000000"/>
                <w:kern w:val="0"/>
                <w:sz w:val="15"/>
                <w:szCs w:val="15"/>
              </w:rPr>
            </w:pPr>
            <w:r>
              <w:rPr>
                <w:rFonts w:hint="eastAsia" w:ascii="仿宋" w:hAnsi="仿宋" w:eastAsia="仿宋" w:cs="宋体"/>
                <w:b/>
                <w:color w:val="000000"/>
                <w:kern w:val="0"/>
                <w:sz w:val="15"/>
                <w:szCs w:val="15"/>
              </w:rPr>
              <w:t>二级</w:t>
            </w:r>
          </w:p>
          <w:p>
            <w:pPr>
              <w:widowControl/>
              <w:spacing w:line="0" w:lineRule="atLeast"/>
              <w:jc w:val="center"/>
              <w:rPr>
                <w:rFonts w:ascii="仿宋" w:hAnsi="仿宋" w:eastAsia="仿宋" w:cs="宋体"/>
                <w:b/>
                <w:color w:val="000000"/>
                <w:kern w:val="0"/>
                <w:sz w:val="15"/>
                <w:szCs w:val="15"/>
              </w:rPr>
            </w:pPr>
            <w:r>
              <w:rPr>
                <w:rFonts w:hint="eastAsia" w:ascii="仿宋" w:hAnsi="仿宋" w:eastAsia="仿宋" w:cs="宋体"/>
                <w:b/>
                <w:color w:val="000000"/>
                <w:kern w:val="0"/>
                <w:sz w:val="15"/>
                <w:szCs w:val="15"/>
              </w:rPr>
              <w:t>事项</w:t>
            </w:r>
          </w:p>
        </w:tc>
        <w:tc>
          <w:tcPr>
            <w:tcW w:w="1843" w:type="dxa"/>
            <w:vMerge w:val="continue"/>
            <w:shd w:val="clear" w:color="auto" w:fill="auto"/>
            <w:vAlign w:val="center"/>
          </w:tcPr>
          <w:p>
            <w:pPr>
              <w:widowControl/>
              <w:spacing w:line="0" w:lineRule="atLeast"/>
              <w:jc w:val="center"/>
              <w:rPr>
                <w:rFonts w:ascii="仿宋" w:hAnsi="仿宋" w:eastAsia="仿宋" w:cs="宋体"/>
                <w:b/>
                <w:color w:val="000000"/>
                <w:kern w:val="0"/>
                <w:sz w:val="15"/>
                <w:szCs w:val="15"/>
              </w:rPr>
            </w:pPr>
          </w:p>
        </w:tc>
        <w:tc>
          <w:tcPr>
            <w:tcW w:w="2126" w:type="dxa"/>
            <w:vMerge w:val="continue"/>
            <w:shd w:val="clear" w:color="auto" w:fill="auto"/>
            <w:vAlign w:val="center"/>
          </w:tcPr>
          <w:p>
            <w:pPr>
              <w:widowControl/>
              <w:spacing w:line="0" w:lineRule="atLeast"/>
              <w:jc w:val="center"/>
              <w:rPr>
                <w:rFonts w:ascii="仿宋" w:hAnsi="仿宋" w:eastAsia="仿宋" w:cs="宋体"/>
                <w:b/>
                <w:color w:val="000000"/>
                <w:kern w:val="0"/>
                <w:sz w:val="15"/>
                <w:szCs w:val="15"/>
              </w:rPr>
            </w:pPr>
          </w:p>
        </w:tc>
        <w:tc>
          <w:tcPr>
            <w:tcW w:w="1701" w:type="dxa"/>
            <w:vMerge w:val="continue"/>
            <w:shd w:val="clear" w:color="auto" w:fill="auto"/>
            <w:vAlign w:val="center"/>
          </w:tcPr>
          <w:p>
            <w:pPr>
              <w:widowControl/>
              <w:spacing w:line="0" w:lineRule="atLeast"/>
              <w:jc w:val="center"/>
              <w:rPr>
                <w:rFonts w:ascii="仿宋" w:hAnsi="仿宋" w:eastAsia="仿宋" w:cs="宋体"/>
                <w:b/>
                <w:color w:val="000000"/>
                <w:kern w:val="0"/>
                <w:sz w:val="15"/>
                <w:szCs w:val="15"/>
              </w:rPr>
            </w:pPr>
          </w:p>
        </w:tc>
        <w:tc>
          <w:tcPr>
            <w:tcW w:w="1134" w:type="dxa"/>
            <w:vMerge w:val="continue"/>
            <w:shd w:val="clear" w:color="auto" w:fill="auto"/>
            <w:vAlign w:val="center"/>
          </w:tcPr>
          <w:p>
            <w:pPr>
              <w:widowControl/>
              <w:spacing w:line="0" w:lineRule="atLeast"/>
              <w:jc w:val="center"/>
              <w:rPr>
                <w:rFonts w:ascii="仿宋" w:hAnsi="仿宋" w:eastAsia="仿宋" w:cs="宋体"/>
                <w:b/>
                <w:color w:val="000000"/>
                <w:kern w:val="0"/>
                <w:sz w:val="15"/>
                <w:szCs w:val="15"/>
              </w:rPr>
            </w:pPr>
          </w:p>
        </w:tc>
        <w:tc>
          <w:tcPr>
            <w:tcW w:w="1276" w:type="dxa"/>
            <w:vMerge w:val="continue"/>
            <w:shd w:val="clear" w:color="auto" w:fill="auto"/>
            <w:vAlign w:val="center"/>
          </w:tcPr>
          <w:p>
            <w:pPr>
              <w:widowControl/>
              <w:spacing w:line="0" w:lineRule="atLeast"/>
              <w:jc w:val="center"/>
              <w:rPr>
                <w:rFonts w:ascii="仿宋" w:hAnsi="仿宋" w:eastAsia="仿宋" w:cs="宋体"/>
                <w:b/>
                <w:kern w:val="0"/>
                <w:sz w:val="15"/>
                <w:szCs w:val="15"/>
              </w:rPr>
            </w:pPr>
          </w:p>
        </w:tc>
        <w:tc>
          <w:tcPr>
            <w:tcW w:w="705" w:type="dxa"/>
            <w:shd w:val="clear" w:color="auto" w:fill="auto"/>
            <w:vAlign w:val="center"/>
          </w:tcPr>
          <w:p>
            <w:pPr>
              <w:widowControl/>
              <w:spacing w:line="0" w:lineRule="atLeast"/>
              <w:jc w:val="center"/>
              <w:rPr>
                <w:rFonts w:ascii="仿宋" w:hAnsi="仿宋" w:eastAsia="仿宋" w:cs="宋体"/>
                <w:b/>
                <w:color w:val="000000"/>
                <w:kern w:val="0"/>
                <w:sz w:val="15"/>
                <w:szCs w:val="15"/>
              </w:rPr>
            </w:pPr>
            <w:r>
              <w:rPr>
                <w:rFonts w:hint="eastAsia" w:ascii="仿宋" w:hAnsi="仿宋" w:eastAsia="仿宋" w:cs="宋体"/>
                <w:b/>
                <w:color w:val="000000"/>
                <w:kern w:val="0"/>
                <w:sz w:val="15"/>
                <w:szCs w:val="15"/>
              </w:rPr>
              <w:t>全社会</w:t>
            </w:r>
          </w:p>
        </w:tc>
        <w:tc>
          <w:tcPr>
            <w:tcW w:w="567" w:type="dxa"/>
            <w:shd w:val="clear" w:color="auto" w:fill="auto"/>
            <w:vAlign w:val="center"/>
          </w:tcPr>
          <w:p>
            <w:pPr>
              <w:widowControl/>
              <w:spacing w:line="0" w:lineRule="atLeast"/>
              <w:jc w:val="center"/>
              <w:rPr>
                <w:rFonts w:ascii="仿宋" w:hAnsi="仿宋" w:eastAsia="仿宋" w:cs="宋体"/>
                <w:b/>
                <w:color w:val="000000"/>
                <w:kern w:val="0"/>
                <w:sz w:val="15"/>
                <w:szCs w:val="15"/>
              </w:rPr>
            </w:pPr>
            <w:r>
              <w:rPr>
                <w:rFonts w:hint="eastAsia" w:ascii="仿宋" w:hAnsi="仿宋" w:eastAsia="仿宋" w:cs="宋体"/>
                <w:b/>
                <w:color w:val="000000"/>
                <w:kern w:val="0"/>
                <w:sz w:val="15"/>
                <w:szCs w:val="15"/>
              </w:rPr>
              <w:t>特定</w:t>
            </w:r>
          </w:p>
          <w:p>
            <w:pPr>
              <w:widowControl/>
              <w:spacing w:line="0" w:lineRule="atLeast"/>
              <w:jc w:val="center"/>
              <w:rPr>
                <w:rFonts w:ascii="仿宋" w:hAnsi="仿宋" w:eastAsia="仿宋" w:cs="宋体"/>
                <w:b/>
                <w:color w:val="000000"/>
                <w:kern w:val="0"/>
                <w:sz w:val="15"/>
                <w:szCs w:val="15"/>
              </w:rPr>
            </w:pPr>
            <w:r>
              <w:rPr>
                <w:rFonts w:hint="eastAsia" w:ascii="仿宋" w:hAnsi="仿宋" w:eastAsia="仿宋" w:cs="宋体"/>
                <w:b/>
                <w:color w:val="000000"/>
                <w:kern w:val="0"/>
                <w:sz w:val="15"/>
                <w:szCs w:val="15"/>
              </w:rPr>
              <w:t>群众</w:t>
            </w:r>
          </w:p>
        </w:tc>
        <w:tc>
          <w:tcPr>
            <w:tcW w:w="567" w:type="dxa"/>
            <w:shd w:val="clear" w:color="auto" w:fill="auto"/>
            <w:vAlign w:val="center"/>
          </w:tcPr>
          <w:p>
            <w:pPr>
              <w:widowControl/>
              <w:spacing w:line="0" w:lineRule="atLeast"/>
              <w:jc w:val="center"/>
              <w:rPr>
                <w:rFonts w:ascii="仿宋" w:hAnsi="仿宋" w:eastAsia="仿宋" w:cs="宋体"/>
                <w:b/>
                <w:color w:val="000000"/>
                <w:kern w:val="0"/>
                <w:sz w:val="15"/>
                <w:szCs w:val="15"/>
              </w:rPr>
            </w:pPr>
            <w:r>
              <w:rPr>
                <w:rFonts w:hint="eastAsia" w:ascii="仿宋" w:hAnsi="仿宋" w:eastAsia="仿宋" w:cs="宋体"/>
                <w:b/>
                <w:color w:val="000000"/>
                <w:kern w:val="0"/>
                <w:sz w:val="15"/>
                <w:szCs w:val="15"/>
              </w:rPr>
              <w:t>主动</w:t>
            </w:r>
          </w:p>
        </w:tc>
        <w:tc>
          <w:tcPr>
            <w:tcW w:w="709" w:type="dxa"/>
            <w:shd w:val="clear" w:color="auto" w:fill="auto"/>
            <w:vAlign w:val="center"/>
          </w:tcPr>
          <w:p>
            <w:pPr>
              <w:widowControl/>
              <w:spacing w:line="0" w:lineRule="atLeast"/>
              <w:jc w:val="center"/>
              <w:rPr>
                <w:rFonts w:ascii="仿宋" w:hAnsi="仿宋" w:eastAsia="仿宋" w:cs="宋体"/>
                <w:b/>
                <w:color w:val="000000"/>
                <w:kern w:val="0"/>
                <w:sz w:val="15"/>
                <w:szCs w:val="15"/>
              </w:rPr>
            </w:pPr>
            <w:r>
              <w:rPr>
                <w:rFonts w:hint="eastAsia" w:ascii="仿宋" w:hAnsi="仿宋" w:eastAsia="仿宋" w:cs="宋体"/>
                <w:b/>
                <w:color w:val="000000"/>
                <w:kern w:val="0"/>
                <w:sz w:val="15"/>
                <w:szCs w:val="15"/>
              </w:rPr>
              <w:t>依申请</w:t>
            </w:r>
          </w:p>
        </w:tc>
        <w:tc>
          <w:tcPr>
            <w:tcW w:w="567" w:type="dxa"/>
            <w:shd w:val="clear" w:color="auto" w:fill="auto"/>
            <w:vAlign w:val="center"/>
          </w:tcPr>
          <w:p>
            <w:pPr>
              <w:widowControl/>
              <w:spacing w:line="0" w:lineRule="atLeast"/>
              <w:jc w:val="center"/>
              <w:rPr>
                <w:rFonts w:ascii="仿宋" w:hAnsi="仿宋" w:eastAsia="仿宋" w:cs="宋体"/>
                <w:b/>
                <w:color w:val="000000"/>
                <w:kern w:val="0"/>
                <w:sz w:val="15"/>
                <w:szCs w:val="15"/>
              </w:rPr>
            </w:pPr>
            <w:r>
              <w:rPr>
                <w:rFonts w:hint="eastAsia" w:ascii="仿宋" w:hAnsi="仿宋" w:eastAsia="仿宋" w:cs="宋体"/>
                <w:b/>
                <w:color w:val="000000"/>
                <w:kern w:val="0"/>
                <w:sz w:val="15"/>
                <w:szCs w:val="15"/>
              </w:rPr>
              <w:t>县级</w:t>
            </w:r>
          </w:p>
        </w:tc>
        <w:tc>
          <w:tcPr>
            <w:tcW w:w="567" w:type="dxa"/>
            <w:shd w:val="clear" w:color="auto" w:fill="auto"/>
            <w:vAlign w:val="center"/>
          </w:tcPr>
          <w:p>
            <w:pPr>
              <w:widowControl/>
              <w:spacing w:line="0" w:lineRule="atLeast"/>
              <w:jc w:val="center"/>
              <w:rPr>
                <w:rFonts w:ascii="仿宋" w:hAnsi="仿宋" w:eastAsia="仿宋" w:cs="宋体"/>
                <w:b/>
                <w:color w:val="000000"/>
                <w:kern w:val="0"/>
                <w:sz w:val="15"/>
                <w:szCs w:val="15"/>
              </w:rPr>
            </w:pPr>
            <w:r>
              <w:rPr>
                <w:rFonts w:hint="eastAsia" w:ascii="仿宋" w:hAnsi="仿宋" w:eastAsia="仿宋" w:cs="宋体"/>
                <w:b/>
                <w:color w:val="000000"/>
                <w:kern w:val="0"/>
                <w:sz w:val="15"/>
                <w:szCs w:val="15"/>
              </w:rPr>
              <w:t>乡镇</w:t>
            </w:r>
          </w:p>
        </w:tc>
        <w:tc>
          <w:tcPr>
            <w:tcW w:w="709" w:type="dxa"/>
            <w:vMerge w:val="continue"/>
          </w:tcPr>
          <w:p>
            <w:pPr>
              <w:widowControl/>
              <w:spacing w:line="0" w:lineRule="atLeast"/>
              <w:jc w:val="center"/>
              <w:rPr>
                <w:rFonts w:ascii="仿宋" w:hAnsi="仿宋" w:eastAsia="仿宋" w:cs="宋体"/>
                <w:b/>
                <w:color w:val="000000"/>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restart"/>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行政</w:t>
            </w:r>
            <w:r>
              <w:rPr>
                <w:rFonts w:hint="eastAsia" w:ascii="仿宋" w:hAnsi="仿宋" w:eastAsia="仿宋"/>
                <w:sz w:val="15"/>
                <w:szCs w:val="15"/>
              </w:rPr>
              <w:br w:type="textWrapping"/>
            </w:r>
            <w:r>
              <w:rPr>
                <w:rFonts w:hint="eastAsia" w:ascii="仿宋" w:hAnsi="仿宋" w:eastAsia="仿宋"/>
                <w:sz w:val="15"/>
                <w:szCs w:val="15"/>
              </w:rPr>
              <w:t>许可</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烟花爆竹经营（零售）许可证核发</w:t>
            </w:r>
          </w:p>
        </w:tc>
        <w:tc>
          <w:tcPr>
            <w:tcW w:w="1843"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1.办事指南：主要包括事项名称、设定依据、申请条件、办理材料、办理地点、办理时间、联系电话、办理流程、办理期限、申请行政许可需要提交的全部材料目录及办理情况;</w:t>
            </w:r>
            <w:r>
              <w:rPr>
                <w:rFonts w:hint="eastAsia" w:ascii="仿宋" w:hAnsi="仿宋" w:eastAsia="仿宋"/>
                <w:sz w:val="15"/>
                <w:szCs w:val="15"/>
              </w:rPr>
              <w:br w:type="textWrapping"/>
            </w:r>
            <w:r>
              <w:rPr>
                <w:rFonts w:hint="eastAsia" w:ascii="仿宋" w:hAnsi="仿宋" w:eastAsia="仿宋"/>
                <w:sz w:val="15"/>
                <w:szCs w:val="15"/>
              </w:rPr>
              <w:t>2.行政许可决定。</w:t>
            </w:r>
          </w:p>
        </w:tc>
        <w:tc>
          <w:tcPr>
            <w:tcW w:w="212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《烟花爆竹安全管理条例》、《烟花爆竹经营许可实施办法》</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信息形成或变更之日起20个工作日内公开</w:t>
            </w:r>
          </w:p>
        </w:tc>
        <w:tc>
          <w:tcPr>
            <w:tcW w:w="1134"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危险化学品经营许可证核发</w:t>
            </w:r>
          </w:p>
        </w:tc>
        <w:tc>
          <w:tcPr>
            <w:tcW w:w="1843"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1.办事指南：内容同上;</w:t>
            </w:r>
            <w:r>
              <w:rPr>
                <w:rFonts w:hint="eastAsia" w:ascii="仿宋" w:hAnsi="仿宋" w:eastAsia="仿宋"/>
                <w:sz w:val="15"/>
                <w:szCs w:val="15"/>
              </w:rPr>
              <w:br w:type="textWrapping"/>
            </w:r>
            <w:r>
              <w:rPr>
                <w:rFonts w:hint="eastAsia" w:ascii="仿宋" w:hAnsi="仿宋" w:eastAsia="仿宋"/>
                <w:sz w:val="15"/>
                <w:szCs w:val="15"/>
              </w:rPr>
              <w:t>2.行政许可决定。</w:t>
            </w:r>
          </w:p>
        </w:tc>
        <w:tc>
          <w:tcPr>
            <w:tcW w:w="212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《危险化学品安全管理条例》、《危险化学品经营许可证管理办法》</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09" w:hRule="atLeas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restart"/>
            <w:shd w:val="clear" w:color="auto" w:fill="auto"/>
            <w:vAlign w:val="center"/>
          </w:tcPr>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r>
              <w:rPr>
                <w:rFonts w:hint="eastAsia" w:ascii="仿宋" w:hAnsi="仿宋" w:eastAsia="仿宋"/>
                <w:sz w:val="15"/>
                <w:szCs w:val="15"/>
              </w:rPr>
              <w:t>行政</w:t>
            </w:r>
            <w:r>
              <w:rPr>
                <w:rFonts w:hint="eastAsia" w:ascii="仿宋" w:hAnsi="仿宋" w:eastAsia="仿宋"/>
                <w:sz w:val="15"/>
                <w:szCs w:val="15"/>
              </w:rPr>
              <w:br w:type="textWrapping"/>
            </w:r>
            <w:r>
              <w:rPr>
                <w:rFonts w:hint="eastAsia" w:ascii="仿宋" w:hAnsi="仿宋" w:eastAsia="仿宋"/>
                <w:sz w:val="15"/>
                <w:szCs w:val="15"/>
              </w:rPr>
              <w:t>处罚</w:t>
            </w: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r>
              <w:rPr>
                <w:rFonts w:hint="eastAsia" w:ascii="仿宋" w:hAnsi="仿宋" w:eastAsia="仿宋"/>
                <w:sz w:val="15"/>
                <w:szCs w:val="15"/>
              </w:rPr>
              <w:t>行政</w:t>
            </w:r>
          </w:p>
          <w:p>
            <w:pPr>
              <w:spacing w:line="240" w:lineRule="exact"/>
              <w:jc w:val="center"/>
              <w:rPr>
                <w:rFonts w:ascii="仿宋" w:hAnsi="仿宋" w:eastAsia="仿宋"/>
                <w:sz w:val="15"/>
                <w:szCs w:val="15"/>
              </w:rPr>
            </w:pPr>
            <w:r>
              <w:rPr>
                <w:rFonts w:hint="eastAsia" w:ascii="仿宋" w:hAnsi="仿宋" w:eastAsia="仿宋"/>
                <w:sz w:val="15"/>
                <w:szCs w:val="15"/>
              </w:rPr>
              <w:t>处罚</w:t>
            </w: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r>
              <w:rPr>
                <w:rFonts w:hint="eastAsia" w:ascii="仿宋" w:hAnsi="仿宋" w:eastAsia="仿宋"/>
                <w:sz w:val="15"/>
                <w:szCs w:val="15"/>
              </w:rPr>
              <w:t>行政</w:t>
            </w:r>
            <w:r>
              <w:rPr>
                <w:rFonts w:hint="eastAsia" w:ascii="仿宋" w:hAnsi="仿宋" w:eastAsia="仿宋"/>
                <w:sz w:val="15"/>
                <w:szCs w:val="15"/>
              </w:rPr>
              <w:br w:type="textWrapping"/>
            </w:r>
            <w:r>
              <w:rPr>
                <w:rFonts w:hint="eastAsia" w:ascii="仿宋" w:hAnsi="仿宋" w:eastAsia="仿宋"/>
                <w:sz w:val="15"/>
                <w:szCs w:val="15"/>
              </w:rPr>
              <w:t>处罚</w:t>
            </w: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r>
              <w:rPr>
                <w:rFonts w:hint="eastAsia" w:ascii="仿宋" w:hAnsi="仿宋" w:eastAsia="仿宋"/>
                <w:sz w:val="15"/>
                <w:szCs w:val="15"/>
              </w:rPr>
              <w:t>行政</w:t>
            </w:r>
            <w:r>
              <w:rPr>
                <w:rFonts w:hint="eastAsia" w:ascii="仿宋" w:hAnsi="仿宋" w:eastAsia="仿宋"/>
                <w:sz w:val="15"/>
                <w:szCs w:val="15"/>
              </w:rPr>
              <w:br w:type="textWrapping"/>
            </w:r>
            <w:r>
              <w:rPr>
                <w:rFonts w:hint="eastAsia" w:ascii="仿宋" w:hAnsi="仿宋" w:eastAsia="仿宋"/>
                <w:sz w:val="15"/>
                <w:szCs w:val="15"/>
              </w:rPr>
              <w:t>处罚</w:t>
            </w: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r>
              <w:rPr>
                <w:rFonts w:hint="eastAsia" w:ascii="仿宋" w:hAnsi="仿宋" w:eastAsia="仿宋"/>
                <w:sz w:val="15"/>
                <w:szCs w:val="15"/>
              </w:rPr>
              <w:t>行政</w:t>
            </w:r>
          </w:p>
          <w:p>
            <w:pPr>
              <w:spacing w:line="240" w:lineRule="exact"/>
              <w:jc w:val="center"/>
              <w:rPr>
                <w:rFonts w:ascii="仿宋" w:hAnsi="仿宋" w:eastAsia="仿宋"/>
                <w:sz w:val="15"/>
                <w:szCs w:val="15"/>
              </w:rPr>
            </w:pPr>
            <w:r>
              <w:rPr>
                <w:rFonts w:hint="eastAsia" w:ascii="仿宋" w:hAnsi="仿宋" w:eastAsia="仿宋"/>
                <w:sz w:val="15"/>
                <w:szCs w:val="15"/>
              </w:rPr>
              <w:t>处罚</w:t>
            </w: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r>
              <w:rPr>
                <w:rFonts w:hint="eastAsia" w:ascii="仿宋" w:hAnsi="仿宋" w:eastAsia="仿宋"/>
                <w:sz w:val="15"/>
                <w:szCs w:val="15"/>
              </w:rPr>
              <w:t>行政</w:t>
            </w:r>
            <w:r>
              <w:rPr>
                <w:rFonts w:hint="eastAsia" w:ascii="仿宋" w:hAnsi="仿宋" w:eastAsia="仿宋"/>
                <w:sz w:val="15"/>
                <w:szCs w:val="15"/>
              </w:rPr>
              <w:br w:type="textWrapping"/>
            </w:r>
            <w:r>
              <w:rPr>
                <w:rFonts w:hint="eastAsia" w:ascii="仿宋" w:hAnsi="仿宋" w:eastAsia="仿宋"/>
                <w:sz w:val="15"/>
                <w:szCs w:val="15"/>
              </w:rPr>
              <w:t>处罚</w:t>
            </w: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r>
              <w:rPr>
                <w:rFonts w:hint="eastAsia" w:ascii="仿宋" w:hAnsi="仿宋" w:eastAsia="仿宋"/>
                <w:sz w:val="15"/>
                <w:szCs w:val="15"/>
              </w:rPr>
              <w:t>行政</w:t>
            </w:r>
            <w:r>
              <w:rPr>
                <w:rFonts w:hint="eastAsia" w:ascii="仿宋" w:hAnsi="仿宋" w:eastAsia="仿宋"/>
                <w:sz w:val="15"/>
                <w:szCs w:val="15"/>
              </w:rPr>
              <w:br w:type="textWrapping"/>
            </w:r>
            <w:r>
              <w:rPr>
                <w:rFonts w:hint="eastAsia" w:ascii="仿宋" w:hAnsi="仿宋" w:eastAsia="仿宋"/>
                <w:sz w:val="15"/>
                <w:szCs w:val="15"/>
              </w:rPr>
              <w:t>处罚</w:t>
            </w:r>
          </w:p>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对生产经营单位非法印制、伪造、倒卖特种作业操作证，或者使用非法印制、伪造、倒卖的特种作业操作证的处罚</w:t>
            </w:r>
          </w:p>
        </w:tc>
        <w:tc>
          <w:tcPr>
            <w:tcW w:w="1843"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《特种作业人员安全技术培训考核管理规定》</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61" w:hRule="atLeas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对特种作业人员伪造、涂改特种作业操作证或者使用伪造的特种作业操作证的处罚</w:t>
            </w:r>
          </w:p>
        </w:tc>
        <w:tc>
          <w:tcPr>
            <w:tcW w:w="1843"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《特种作业人员安全技术培训考核管理规定》</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对特种作业人员转借、转让、冒用特种作业操作证的处罚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《特种作业人员安全技术培训考核管理规定》</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对建设项目（安全设施设计发生重大变更后），未重新申请安全条件审查，以及审查未通过擅自建设的处罚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《危险化学品建设项目安全监督管理办法》</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对建设单位建设项目安全设施设计未经审查或者审查未通过，擅自建设的处罚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《危险化学品建设项目安全监督管理办法》</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对建设单位建设项目安全设施设计未经变更设计审查或者变更设计审查未通过，擅自建设的处罚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《危险化学品建设项目安全监督管理办法》。"</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对建设单位建设项目的施工单位未根据批准的安全设施设计施工的处罚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《危险化学品建设项目安全监督管理办法》</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0" w:hRule="atLeas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对建设单位建设项目安全设施未经竣工验收或者验收不合格，擅自投入生产（使用）的处罚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《危险化学品建设项目安全监督管理办法》</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0" w:hRule="atLeas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对建设单位建设项目安全设施竣工后未进行检验、检测的处罚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《危险化学品建设项目安全监督管理办法》</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0" w:hRule="atLeas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对建设单位在申请建设项目安全审查时提供虚假文件、资料的处罚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《危险化学品建设项目安全监督管理办法》</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0" w:hRule="atLeas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对建设单位未组织有关单位和专家研究提出试生产（使用）可能出现的安全问题及对策，或者未制定周密的试生产（使用）方案，进行试生产（使用）的处罚</w:t>
            </w:r>
            <w:r>
              <w:rPr>
                <w:rFonts w:hint="eastAsia" w:ascii="仿宋" w:hAnsi="仿宋" w:eastAsia="仿宋"/>
                <w:sz w:val="15"/>
                <w:szCs w:val="15"/>
              </w:rPr>
              <w:br w:type="page"/>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《危险化学品建设项目安全监督管理办法》</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0" w:hRule="atLeas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对建设单位未组织有关专家对试生产（使用）方案进行审查、对试生产（使用）条件进行检查确认的处罚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《危险化学品建设项目安全监督管理办法》</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0" w:hRule="atLeas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对建设单位隐瞒有关情况或者提供虚假材料申请建设项目安全审查的处罚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《危险化学品建设项目安全监督管理办法》</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0" w:hRule="atLeas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对伪造、变造或者出租、出借、转让经营许可证，或者使用伪造、变造的经营许可证的处罚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《危险化学品经营许可证管理办法》</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0" w:hRule="atLeast"/>
          <w:jc w:val="center"/>
        </w:trPr>
        <w:tc>
          <w:tcPr>
            <w:tcW w:w="626" w:type="dxa"/>
            <w:tcBorders>
              <w:top w:val="nil"/>
            </w:tcBorders>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对已经取得经营许可证的企业不再具备安全生产条件的处罚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《危险化学品经营许可证管理办法》</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0" w:hRule="atLeas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对已经取得经营许可证的企业未依照规定申请变更的处罚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《危险化学品经营许可证管理办法》</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0" w:hRule="atLeas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对安全评价机构从业人员不到现场开展安全评价活动的处罚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《安全评价机构管理规定》</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0" w:hRule="atLeas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对企业在安全使用许可证有效期届满后未办理延期手续，仍然使用危险化学品从事生产，且达到危险化学品使用量的数量标准规定的处罚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《危险化学品安全使用许可证实施办法》</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0" w:hRule="atLeas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对企业伪造、变造或者出租、出借、转让安全使用许可证，或者使用伪造、变造的安全使用许可证的处罚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《危险化学品安全使用许可证实施办法》</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4" w:hRule="atLeas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对企业在安全使用许可证有效期内主要负责人、企业名称、注册地址、隶属关系发生变更，未按照规定的时限提出安全使用许可证变更申请或者将隶属关系变更证明材料报发证机关的处罚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《危险化学品安全使用许可证实施办法》</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8" w:hRule="atLeas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企业在安全使用许可证有效期内增加使用的危险化学品品种，且达到危险化学品使用量的数量标准规定的、涉及危险化学品安全使用许可范围的新建、改建、扩建建设项目，其安全设施已经竣工验收合格的或改变工艺技术对企业的安全生产条件产生重大影响的，未按照规定提出变更申请，继续从事生产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《危险化学品安全使用许可证实施办法》</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68" w:hRule="atLeas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对发现企业隐瞒有关情况或者提供虚假文件、资料申请安全使用许可证的处罚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《危险化学品安全使用许可证实施办法》</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4" w:hRule="atLeas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对易制毒化学品生产、经营单位未按规定建立易制毒化学品的管理制度和安全管理制度的处罚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《非药品类易制毒化学品生产、经营许可办法》</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3" w:hRule="atLeas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对将许可证或者备案证明转借他人使用的处罚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《非药品类易制毒化学品生产、经营许可办法》</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对超出许可的品种、数量，生产、经营非药品类易制毒化学品的处罚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《非药品类易制毒化学品生产、经营许可办法》</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对易制毒化学品的产品包装和使用说明书不符合规定要求的处罚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《非药品类易制毒化学品生产、经营许可办法》</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对生产、经营非药品类易制毒化学品的单位不如实或者不按时向安全生产监督管理部门报告年度生产、经营等情况的处罚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《非药品类易制毒化学品生产、经营许可办法》</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对承担安全评价、认证、检测、检验工作的机构，出具虚假证明的处罚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《中华人民共和国安全生产法》、《非煤矿矿山企业安全生产许可证实施办法》、《危险化学品建设项目安全监督管理办法》、《危险化学品生产企业安全生产许可证实施办法》</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对生产经营单位的决策机构、主要负责人或者个人经营的投资人不依照本法规定保证安全生产所必需的资金投入，致使生产经营单位不具备安全生产条件的处罚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《中华人民共和国安全生产法》</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对生产经营单位的决策机构、主要负责人或者个人经营的投资人不依照本法规定保证安全生产所必需的资金投入，导致发生生产安全事故的处罚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《中华人民共和国安全生产法》</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对生产经营单位的主要负责人未履行本法规定的安全生产管理职责的逾期未改正的处罚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《中华人民共和国安全生产法》</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对生产经营单位的主要负责人未履行本法规定的安全生产管理职责，导致发生生产安全事故的处罚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《中华人民共和国安全生产法》、《安全生产违法行为行政处罚办法》</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对生产经营单位未按照规定设置安全生产管理机构或者配备安全生产管理人员的处罚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《中华人民共和国安全生产法》</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restart"/>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行政</w:t>
            </w:r>
            <w:r>
              <w:rPr>
                <w:rFonts w:hint="eastAsia" w:ascii="仿宋" w:hAnsi="仿宋" w:eastAsia="仿宋"/>
                <w:sz w:val="15"/>
                <w:szCs w:val="15"/>
              </w:rPr>
              <w:br w:type="textWrapping"/>
            </w:r>
            <w:r>
              <w:rPr>
                <w:rFonts w:hint="eastAsia" w:ascii="仿宋" w:hAnsi="仿宋" w:eastAsia="仿宋"/>
                <w:sz w:val="15"/>
                <w:szCs w:val="15"/>
              </w:rPr>
              <w:t>处罚</w:t>
            </w:r>
          </w:p>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对生产经营单位危险物品的生产、经营、储存单位以及矿山、金属冶炼、建筑施工、道路运输单位的主要负责人和安全生产管理人员未按照规定经考核合格的处罚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《中华人民共和国安全生产法》、《生产经营单位安全培训规定》</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对生产经营单位未按照规定对从业人员、被派遣劳动者、实习学生进行安全生产教育和培训，或者未按照规定如实告知有关的安全生产事项的处罚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《中华人民共和国安全生产法》、《生产经营单位安全培训规定》</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对生产经营单位未如实记录安全生产教育和培训情况的处罚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《中华人民共和国安全生产法》、《生产经营单位安全培训规定》</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对生产经营单位未将事故隐患排查治理情况如实记录或者未向从业人员通报的处罚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《中华人民共和国安全生产法》</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对生产经营单位未按照规定制定生产安全事故应急救援预案或者未定期组织演练的处罚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《中华人民共和国安全生产法》、《生产安全事故应急预案管理办法》</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restart"/>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行政</w:t>
            </w:r>
            <w:r>
              <w:rPr>
                <w:rFonts w:hint="eastAsia" w:ascii="仿宋" w:hAnsi="仿宋" w:eastAsia="仿宋"/>
                <w:sz w:val="15"/>
                <w:szCs w:val="15"/>
              </w:rPr>
              <w:br w:type="textWrapping"/>
            </w:r>
            <w:r>
              <w:rPr>
                <w:rFonts w:hint="eastAsia" w:ascii="仿宋" w:hAnsi="仿宋" w:eastAsia="仿宋"/>
                <w:sz w:val="15"/>
                <w:szCs w:val="15"/>
              </w:rPr>
              <w:t>处罚</w:t>
            </w:r>
          </w:p>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对生产经营单位使用未取得特种作业操作证的特种作业人员上岗作业的处罚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《中华人民共和国安全生产法》、《生产经营单位安全培训规定》、《特种作业人员安全技术培训考核管理规定》</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对生产单位未按照规定对矿山、金属冶炼建设项目或者用于生产、储存、装卸危险物品的建设项目进行安全评价的处罚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《中华人民共和国安全生产法》</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对生产单位矿山、金属冶炼建设项目或者用于生产、储存、装卸危险物品的建设项目没有安全设施设计或者安全设施设计未按照规定报经有关部门审查同意的处罚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《中华人民共和国安全生产法》</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对生产单位矿山、金属冶炼建设项目或者用于生产、储存、装卸危险物品的建设项目的施工单位未按照批准的安全设施设计施工的处罚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《中华人民共和国安全生产法》</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restart"/>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行政</w:t>
            </w:r>
            <w:r>
              <w:rPr>
                <w:rFonts w:hint="eastAsia" w:ascii="仿宋" w:hAnsi="仿宋" w:eastAsia="仿宋"/>
                <w:sz w:val="15"/>
                <w:szCs w:val="15"/>
              </w:rPr>
              <w:br w:type="textWrapping"/>
            </w:r>
            <w:r>
              <w:rPr>
                <w:rFonts w:hint="eastAsia" w:ascii="仿宋" w:hAnsi="仿宋" w:eastAsia="仿宋"/>
                <w:sz w:val="15"/>
                <w:szCs w:val="15"/>
              </w:rPr>
              <w:t>处罚</w:t>
            </w:r>
          </w:p>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对生产单位矿山、金属冶炼建设项目或者用于生产、储存危险物品的建设项目竣工投入生产或者使用前，安全设施未经验收合格的处罚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《中华人民共和国安全生产法》</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对生产经营单位未在有较大危险因素的生产经营场所和有关设施、设备上设置明显的安全警示标志的处罚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《中华人民共和国安全生产法》</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对生产经营单位有安全设备的安装、使用、检测、改造和报废不符合国家标准或者行业标准的处罚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《中华人民共和国安全生产法》</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对生产经营单位有未对安全设备进行经常性维护、保养和定期检测的处罚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《中华人民共和国安全生产法》</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对生产经营单位有未为从业人员提供符合国家标准或者行业标准的劳动防护用品的处罚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《中华人民共和国安全生产法》</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restart"/>
            <w:shd w:val="clear" w:color="auto" w:fill="auto"/>
            <w:vAlign w:val="center"/>
          </w:tcPr>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r>
              <w:rPr>
                <w:rFonts w:hint="eastAsia" w:ascii="仿宋" w:hAnsi="仿宋" w:eastAsia="仿宋"/>
                <w:sz w:val="15"/>
                <w:szCs w:val="15"/>
              </w:rPr>
              <w:t>行政</w:t>
            </w:r>
            <w:r>
              <w:rPr>
                <w:rFonts w:hint="eastAsia" w:ascii="仿宋" w:hAnsi="仿宋" w:eastAsia="仿宋"/>
                <w:sz w:val="15"/>
                <w:szCs w:val="15"/>
              </w:rPr>
              <w:br w:type="textWrapping"/>
            </w:r>
            <w:r>
              <w:rPr>
                <w:rFonts w:hint="eastAsia" w:ascii="仿宋" w:hAnsi="仿宋" w:eastAsia="仿宋"/>
                <w:sz w:val="15"/>
                <w:szCs w:val="15"/>
              </w:rPr>
              <w:t>处罚</w:t>
            </w: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r>
              <w:rPr>
                <w:rFonts w:hint="eastAsia" w:ascii="仿宋" w:hAnsi="仿宋" w:eastAsia="仿宋"/>
                <w:sz w:val="15"/>
                <w:szCs w:val="15"/>
              </w:rPr>
              <w:t>行政</w:t>
            </w:r>
            <w:r>
              <w:rPr>
                <w:rFonts w:hint="eastAsia" w:ascii="仿宋" w:hAnsi="仿宋" w:eastAsia="仿宋"/>
                <w:sz w:val="15"/>
                <w:szCs w:val="15"/>
              </w:rPr>
              <w:br w:type="textWrapping"/>
            </w:r>
            <w:r>
              <w:rPr>
                <w:rFonts w:hint="eastAsia" w:ascii="仿宋" w:hAnsi="仿宋" w:eastAsia="仿宋"/>
                <w:sz w:val="15"/>
                <w:szCs w:val="15"/>
              </w:rPr>
              <w:t>处罚</w:t>
            </w: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r>
              <w:rPr>
                <w:rFonts w:hint="eastAsia" w:ascii="仿宋" w:hAnsi="仿宋" w:eastAsia="仿宋"/>
                <w:sz w:val="15"/>
                <w:szCs w:val="15"/>
              </w:rPr>
              <w:t>行政</w:t>
            </w:r>
            <w:r>
              <w:rPr>
                <w:rFonts w:hint="eastAsia" w:ascii="仿宋" w:hAnsi="仿宋" w:eastAsia="仿宋"/>
                <w:sz w:val="15"/>
                <w:szCs w:val="15"/>
              </w:rPr>
              <w:br w:type="textWrapping"/>
            </w:r>
            <w:r>
              <w:rPr>
                <w:rFonts w:hint="eastAsia" w:ascii="仿宋" w:hAnsi="仿宋" w:eastAsia="仿宋"/>
                <w:sz w:val="15"/>
                <w:szCs w:val="15"/>
              </w:rPr>
              <w:t>处罚</w:t>
            </w:r>
          </w:p>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生产经营单位有危险物品的容器、运输工具，以及涉及人身安全、危险性较大的海洋石油开采特种设备和矿山井下特种设备未经具有专业资质的机构检测、检验合格，取得安全使用证或者安全标志，投入使用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《中华人民共和国安全生产法》</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对生产经营单位有使用应当淘汰的危及生产安全的工艺、设备的处罚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《中华人民共和国安全生产法》</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对生产经营单位生产、经营、运输、储存、使用危险物品或者处置废弃危险物品，未建立专门安全管理制度、未采取可靠的安全措施的处罚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《中华人民共和国安全生产法》</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对生产经营单位对重大危险源未登记建档，或者未进行评估、监控，或者未制定应急预案的处罚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《中华人民共和国安全生产法》</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对生产经营单位进行爆破、吊装以及国务院安全生产监督管理部门会同国务院有关部门规定的其他危险作业，未安排专门人员进行现场安全管理的处罚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《中华人民共和国安全生产法》</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对生产经营单位未建立事故隐患排查治理制度的处罚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《中华人民共和国安全生产法》</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对生产经营单位拒不执行采取措施消除事故隐患的处罚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《中华人民共和国安全生产法》</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对生产经营单位将生产经营项目、场所、设备发包或者出租给不具备安全生产条件或者相应资质的单位或者个人的处罚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《中华人民共和国安全生产法》</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对生产经营单位未与承包单位、承租单位签订专门的安全生产管理协议或者未在承包合同、租赁合同中明确各自的安全生产管理职责，或者未对承包单位、承租单位的安全生产统一协调、管理的处罚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《中华人民共和国安全生产法》</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对两个以上生产经营单位在同一作业区域内进行可能危及对方安全生产的生产经营活动，未签订安全生产管理协议或者未指定专职安全生产管理人员进行安全检查与协调的处罚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《中华人民共和国安全生产法》</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对生产、经营、储存、使用危险物品的车间、商店、仓库与员工宿舍在同一座建筑内，或者与员工宿舍的距离不符合安全要求的处罚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《中华人民共和国安全生产法》</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对生产经营场所和员工宿舍未设有符合紧急疏散需要、标志明显、保持畅通的出口，或者锁闭、封堵生产经营场所或者员工宿舍出口的处罚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《中华人民共和国安全生产法》</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对生产经营单位与从业人员订立协议，免除或者减轻其对从业人员因生产安全事故伤亡依法应承担的责任的处罚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《中华人民共和国安全生产法》</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restart"/>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行政</w:t>
            </w:r>
            <w:r>
              <w:rPr>
                <w:rFonts w:hint="eastAsia" w:ascii="仿宋" w:hAnsi="仿宋" w:eastAsia="仿宋"/>
                <w:sz w:val="15"/>
                <w:szCs w:val="15"/>
              </w:rPr>
              <w:br w:type="textWrapping"/>
            </w:r>
            <w:r>
              <w:rPr>
                <w:rFonts w:hint="eastAsia" w:ascii="仿宋" w:hAnsi="仿宋" w:eastAsia="仿宋"/>
                <w:sz w:val="15"/>
                <w:szCs w:val="15"/>
              </w:rPr>
              <w:t>处罚</w:t>
            </w:r>
          </w:p>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对生产经营单位拒绝、阻碍负有安全生产监督管理职责的部门依法实施监督检查的处罚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《中华人民共和国安全生产法》</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对生产经营单位的主要负责人在本单位发生生产安全事故时，不立即组织抢救或者在事故调查处理期间擅离职守或者逃匿的或对对生产安全事故隐瞒不报、谎报或者迟报的处罚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《中华人民共和国安全生产法》、《生产安全事故报告和调查处理条例》</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对生产经营单位不具备本法和其他有关法律、行政法规和国家标准或者行业标准规定的安全生产条件的处罚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《中华人民共和国安全生产法》</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发生产安全事故，对负有责任的生产经营单位除要求其依法承担相应的赔偿等责任外的处罚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《中华人民共和国安全生产法》</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对矿山建设工程安全设施的设计未经允准擅自施工的处罚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《中华人民共和国矿山安全法》</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对矿山建设工程的安全设施未经验收或者验收不合格擅自投入生产的处罚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《中华人民共和国矿山安全法》</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restart"/>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行政</w:t>
            </w:r>
            <w:r>
              <w:rPr>
                <w:rFonts w:hint="eastAsia" w:ascii="仿宋" w:hAnsi="仿宋" w:eastAsia="仿宋"/>
                <w:sz w:val="15"/>
                <w:szCs w:val="15"/>
              </w:rPr>
              <w:br w:type="textWrapping"/>
            </w:r>
            <w:r>
              <w:rPr>
                <w:rFonts w:hint="eastAsia" w:ascii="仿宋" w:hAnsi="仿宋" w:eastAsia="仿宋"/>
                <w:sz w:val="15"/>
                <w:szCs w:val="15"/>
              </w:rPr>
              <w:t>处罚</w:t>
            </w:r>
          </w:p>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对已经投入生产的矿山企业，不具备安全生产条件而强行开采的处罚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《中华人民共和国矿山安全法》</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对生产经营单位负责人及相关管理人员违反《内蒙古自治区安全生产条例》第十二条规定的处罚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《内蒙古自治区安全生产条例》</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对生产经营单位未建立实施安全生产和职业健康管理制度的处罚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《内蒙古自治区安全生产条例》</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对生产经营单位未开展安全生产标准化建设的处罚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《内蒙古自治区安全生产条例》</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对生产经营单位生产区域、生活区域、储存区域之间的安全距离以及与周边防护安全距离不符合国家标准或者行业标准的处罚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《内蒙古自治区安全生产条例》</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对生产经营单位未开展生产安全事故隐患排查治理的处罚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《内蒙古自治区安全生产条例》</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对生产经营单位未进行风险分析与防控的处罚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《内蒙古自治区安全生产条例》</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restart"/>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行政</w:t>
            </w:r>
            <w:r>
              <w:rPr>
                <w:rFonts w:hint="eastAsia" w:ascii="仿宋" w:hAnsi="仿宋" w:eastAsia="仿宋"/>
                <w:sz w:val="15"/>
                <w:szCs w:val="15"/>
              </w:rPr>
              <w:br w:type="textWrapping"/>
            </w:r>
            <w:r>
              <w:rPr>
                <w:rFonts w:hint="eastAsia" w:ascii="仿宋" w:hAnsi="仿宋" w:eastAsia="仿宋"/>
                <w:sz w:val="15"/>
                <w:szCs w:val="15"/>
              </w:rPr>
              <w:t>处罚</w:t>
            </w:r>
          </w:p>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对生产经营单位违反《内蒙古自治区安全生产条例》第三十一条、第三十二条规定的处罚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《内蒙古自治区安全生产条例》</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对人员密集场所违反《内蒙古自治区安全生产条例》第三十五条规定的处罚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《内蒙古自治区安全生产条例》</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对化工及危险化学品生产、经营、储存单位违反《内蒙古自治区安全生产条例》第四十一条规定的处罚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《内蒙古自治区安全生产条例》</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对生产、经营、使用国家禁止生产、经营、使用的危险化学品或违反国家关于危险化学品使用的限制性规定使用危险化学品的处罚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《危险化学品安全管理条例》</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对未经安全条件审查，新建、改建、扩建生产、储存危险化学品的建设项目的处罚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《危险化学品安全管理条例》、《危险化学品建设项目安全监督管理办法》</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对化工企业未取得危险化学品安全使用许可证，使用危险化学品从事生产的处罚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《危险化学品安全管理条例》、《危险化学品安全使用许可证实施办法》</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restart"/>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行政</w:t>
            </w:r>
            <w:r>
              <w:rPr>
                <w:rFonts w:hint="eastAsia" w:ascii="仿宋" w:hAnsi="仿宋" w:eastAsia="仿宋"/>
                <w:sz w:val="15"/>
                <w:szCs w:val="15"/>
              </w:rPr>
              <w:br w:type="textWrapping"/>
            </w:r>
            <w:r>
              <w:rPr>
                <w:rFonts w:hint="eastAsia" w:ascii="仿宋" w:hAnsi="仿宋" w:eastAsia="仿宋"/>
                <w:sz w:val="15"/>
                <w:szCs w:val="15"/>
              </w:rPr>
              <w:t>处罚</w:t>
            </w:r>
          </w:p>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对未取得危险化学品经营许可证从事危险化学品经营的处罚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《危险化学品安全管理条例》</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对生产、储存危险化学品的单位未对其铺设的危险化学品管道设置明显的标志，或者未对危险化学品管道定期检查、检测的处罚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《危险化学品安全管理条例》</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进行可能危及危险化学品管道安全的施工作业，施工单位未按照规定书面通知管道所属单位，或者未与管道所属单位共同制定应急预案、采取相应的安全防护措施，或者管道所属单位未指派专门人员到现场进行管道安全保护指导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《危险化学品安全管理条例》、《危险化学品输送管道安全管理规定》</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对危险化学品生产企业未提供化学品安全技术说明书，或者未在包装（包括外包装件）上粘贴、拴挂化学品安全标签的处罚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《危险化学品安全管理条例》</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restart"/>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行政</w:t>
            </w:r>
            <w:r>
              <w:rPr>
                <w:rFonts w:hint="eastAsia" w:ascii="仿宋" w:hAnsi="仿宋" w:eastAsia="仿宋"/>
                <w:sz w:val="15"/>
                <w:szCs w:val="15"/>
              </w:rPr>
              <w:br w:type="textWrapping"/>
            </w:r>
            <w:r>
              <w:rPr>
                <w:rFonts w:hint="eastAsia" w:ascii="仿宋" w:hAnsi="仿宋" w:eastAsia="仿宋"/>
                <w:sz w:val="15"/>
                <w:szCs w:val="15"/>
              </w:rPr>
              <w:t>处罚</w:t>
            </w:r>
          </w:p>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危险化学品生产企业提供的化学品安全技术说明书与其生产的危险化学品不相符，或者在包装（包括外包装件）粘贴、拴挂的化学品安全标签与包装内危险化学品不相符，或者化学品安全技术说明书、化学品安全标签所载明的内容不符合国家标准要求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《危险化学品安全管理条例》</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对危险化学品生产企业发现其生产的危险化学品有新的危险特性不立即公告，或者不及时修订其化学品安全技术说明书和化学品安全标签的处罚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《危险化学品安全管理条例》</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对危险化学品经营企业经营没有化学品安全技术说明书和化学品安全标签的危险化学品的处罚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《危险化学品安全管理条例》</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restart"/>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行政</w:t>
            </w:r>
            <w:r>
              <w:rPr>
                <w:rFonts w:hint="eastAsia" w:ascii="仿宋" w:hAnsi="仿宋" w:eastAsia="仿宋"/>
                <w:sz w:val="15"/>
                <w:szCs w:val="15"/>
              </w:rPr>
              <w:br w:type="textWrapping"/>
            </w:r>
            <w:r>
              <w:rPr>
                <w:rFonts w:hint="eastAsia" w:ascii="仿宋" w:hAnsi="仿宋" w:eastAsia="仿宋"/>
                <w:sz w:val="15"/>
                <w:szCs w:val="15"/>
              </w:rPr>
              <w:t>处罚</w:t>
            </w:r>
          </w:p>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对危险化学品包装物、容器的材质以及包装的型式、规格、方法和单件质量（重量）与所包装的危险化学品的性质和用途不相适应的处罚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《危险化学品安全管理条例》</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对生产、储存危险化学品的单位未在作业场所和安全设施、设备上设置明显的安全警示标志，或者未在作业场所设置通信、报警装置的处罚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《危险化学品安全管理条例》</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对危险化学品专用仓库未设专人负责管理，或者对储存的剧毒化学品以及储存数量构成重大危险源的其他危险化学品未实行双人收发、双人保管制度的处罚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《危险化学品安全管理条例》</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对储存危险化学品的单位未建立危险化学品出入库核查、登记制度的处罚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《危险化学品安全管理条例》</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对危险化学品专用仓库未设置明显标志的处罚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《危险化学品安全管理条例》</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restart"/>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行政</w:t>
            </w:r>
            <w:r>
              <w:rPr>
                <w:rFonts w:hint="eastAsia" w:ascii="仿宋" w:hAnsi="仿宋" w:eastAsia="仿宋"/>
                <w:sz w:val="15"/>
                <w:szCs w:val="15"/>
              </w:rPr>
              <w:br w:type="textWrapping"/>
            </w:r>
            <w:r>
              <w:rPr>
                <w:rFonts w:hint="eastAsia" w:ascii="仿宋" w:hAnsi="仿宋" w:eastAsia="仿宋"/>
                <w:sz w:val="15"/>
                <w:szCs w:val="15"/>
              </w:rPr>
              <w:t>处罚</w:t>
            </w:r>
          </w:p>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对危险化学品生产企业、进口企业不办理危险化学品登记，或者发现其生产、进口的危险化学品有新的危险特性不办理危险化学品登记内容变更手续的处罚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《危险化学品安全管理条例》</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对生产、储存、使用危险化学品的单位重复使用的危险化学品包装物、容器，在重复使用前不进行检查的处罚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《危险化学品安全管理条例》、《危险化学品经营许可证管理办法》</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生产、储存、使用危险化学品的单位未根据其生产、储存的危险化学品的种类和危险特性，在作业场所设置相关安全设施、设备，或者未按照国家标准、行业标准或者国家有关规定对安全设施、设备进行经常性维护、保养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《危险化学品安全管理条例》、《危险化学品经营许可证管理办法》</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对生产、储存、使用危险化学品的单位未依照规定对其安全生产条件定期进行安全评价的处罚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《危险化学品安全管理条例》、《危险化学品经营许可证管理办法》</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restart"/>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行政</w:t>
            </w:r>
            <w:r>
              <w:rPr>
                <w:rFonts w:hint="eastAsia" w:ascii="仿宋" w:hAnsi="仿宋" w:eastAsia="仿宋"/>
                <w:sz w:val="15"/>
                <w:szCs w:val="15"/>
              </w:rPr>
              <w:br w:type="textWrapping"/>
            </w:r>
            <w:r>
              <w:rPr>
                <w:rFonts w:hint="eastAsia" w:ascii="仿宋" w:hAnsi="仿宋" w:eastAsia="仿宋"/>
                <w:sz w:val="15"/>
                <w:szCs w:val="15"/>
              </w:rPr>
              <w:t>处罚</w:t>
            </w:r>
          </w:p>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对生产、储存、使用危险化学品的单位未将危险化学品储存在专用仓库内，或者未将剧毒化学品以及储存数量构成重大危险源的其他危险化学品在专用仓库内单独存放的处罚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《危险化学品安全管理条例》、《危险化学品经营许可证管理办法》</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对生产、储存、使用危险化学品的单位危险化学品的储存方式、方法或者储存数量不符合国家标准或者国家有关规定的处罚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《危险化学品安全管理条例》、《危险化学品经营许可证管理办法》</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对生产、储存、使用危险化学品的单位危险化学品专用仓库不符合国家标准、行业标准的要求的处罚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《危险化学品安全管理条例》、《危险化学品经营许可证管理办法》</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对生产、储存、使用危险化学品的单位未对危险化学品专用仓库的安全设施、设备定期进行检测、检验的处罚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《危险化学品安全管理条例》、《危险化学品经营许可证管理办法》</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restart"/>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行政</w:t>
            </w:r>
            <w:r>
              <w:rPr>
                <w:rFonts w:hint="eastAsia" w:ascii="仿宋" w:hAnsi="仿宋" w:eastAsia="仿宋"/>
                <w:sz w:val="15"/>
                <w:szCs w:val="15"/>
              </w:rPr>
              <w:br w:type="textWrapping"/>
            </w:r>
            <w:r>
              <w:rPr>
                <w:rFonts w:hint="eastAsia" w:ascii="仿宋" w:hAnsi="仿宋" w:eastAsia="仿宋"/>
                <w:sz w:val="15"/>
                <w:szCs w:val="15"/>
              </w:rPr>
              <w:t>处罚</w:t>
            </w:r>
          </w:p>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对生产、储存、使用危险化学品的单位转产、停产、停业或者解散，未采取有效措施及时、妥善处置其危险化学品生产装置、储存设施以及库存的危险化学品，或者丢弃危险化学品的处罚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《危险化学品安全管理条例》</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对生产、储存、使用危险化学品的单位转产、停产、停业或者解散，未依照规定将其危险化学品生产装置、储存设施以及库存危险化学品的处置方案报有关部门备案的处罚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《危险化学品安全管理条例》</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对不具有相关许可证件或者证明文件的单位销售剧毒化学品、易制爆危险化学品的处罚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《危险化学品安全管理条例》</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对不按照剧毒化学品购买许可证载明的品种、数量销售剧毒化学品的处罚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《危险化学品安全管理条例》</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对向个人销售剧毒化学品（属于剧毒化学品的农药除外）、易制爆危险化学品的处罚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《危险化学品安全管理条例》</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restart"/>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行政</w:t>
            </w:r>
            <w:r>
              <w:rPr>
                <w:rFonts w:hint="eastAsia" w:ascii="仿宋" w:hAnsi="仿宋" w:eastAsia="仿宋"/>
                <w:sz w:val="15"/>
                <w:szCs w:val="15"/>
              </w:rPr>
              <w:br w:type="textWrapping"/>
            </w:r>
            <w:r>
              <w:rPr>
                <w:rFonts w:hint="eastAsia" w:ascii="仿宋" w:hAnsi="仿宋" w:eastAsia="仿宋"/>
                <w:sz w:val="15"/>
                <w:szCs w:val="15"/>
              </w:rPr>
              <w:t>处罚</w:t>
            </w:r>
          </w:p>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对事故发生单位及其有关人员谎报或者瞒报事故的处罚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《生产安全事故报告和调查处理条例》</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对事故发生单位及其有关人员伪造或者故意破坏事故现场的处罚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《生产安全事故报告和调查处理条例》</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对事故发生单位及其有关人员转移、隐匿资金、财产，或者销毁有关证据、资料的处罚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《生产安全事故报告和调查处理条例》</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对事故发生单位及其有关人员拒绝接受调查或者拒绝提供有关情况和资料的处罚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《生产安全事故报告和调查处理条例》</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对事故发生单位及其有关人员在事故调查中作伪证或者指使他人作伪证的处罚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《生产安全事故报告和调查处理条例》</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对事故发生单位及其有关人员的处罚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《生产安全事故报告和调查处理条例》</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对事故发生单位对事故发生负有责任的处罚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《生产安全事故报告和调查处理条例》</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restart"/>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行政</w:t>
            </w:r>
            <w:r>
              <w:rPr>
                <w:rFonts w:hint="eastAsia" w:ascii="仿宋" w:hAnsi="仿宋" w:eastAsia="仿宋"/>
                <w:sz w:val="15"/>
                <w:szCs w:val="15"/>
              </w:rPr>
              <w:br w:type="textWrapping"/>
            </w:r>
            <w:r>
              <w:rPr>
                <w:rFonts w:hint="eastAsia" w:ascii="仿宋" w:hAnsi="仿宋" w:eastAsia="仿宋"/>
                <w:sz w:val="15"/>
                <w:szCs w:val="15"/>
              </w:rPr>
              <w:t>处罚</w:t>
            </w:r>
          </w:p>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对生产经营单位的决策机构、主要负责人、个人经营的投资人（包括实际控制人，下同）未依法保证安全生产所必需的资金投入，致使生产经营单位不具备安全生产条件的处罚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《安全生产违法行为行政处罚办法》</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对生产经营单位及其主要负责人或者其他人员违反操作规程或者安全管理规定作业的处罚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《安全生产违法行为行政处罚办法》</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对生产经营单位及其主要负责人或者其他人员违章指挥从业人员或者强令从业人员违章、冒险作业的处罚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《安全生产违法行为行政处罚办法》</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对生产经营单位及其主要负责人或者其他人员发现从业人员违章作业不加制止的处罚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《安全生产违法行为行政处罚办法》</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对生产经营单位及其主要负责人或者其他人员超过核定的生产能力、强度或者定员进行生产的处罚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《安全生产违法行为行政处罚办法》</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restart"/>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行政</w:t>
            </w:r>
            <w:r>
              <w:rPr>
                <w:rFonts w:hint="eastAsia" w:ascii="仿宋" w:hAnsi="仿宋" w:eastAsia="仿宋"/>
                <w:sz w:val="15"/>
                <w:szCs w:val="15"/>
              </w:rPr>
              <w:br w:type="textWrapping"/>
            </w:r>
            <w:r>
              <w:rPr>
                <w:rFonts w:hint="eastAsia" w:ascii="仿宋" w:hAnsi="仿宋" w:eastAsia="仿宋"/>
                <w:sz w:val="15"/>
                <w:szCs w:val="15"/>
              </w:rPr>
              <w:t>处罚</w:t>
            </w:r>
          </w:p>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对生产经营单位及其主要负责人或者其他人员对被查封或者扣押的设施、设备、器材、危险物品和作业场所，擅自启封或者使用的处罚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《安全生产违法行为行政处罚办法》</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对生产经营单位及其主要负责人或者其他人员故意提供虚假情况或者隐瞒存在的事故隐患以及其他安全问题的处罚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《安全生产违法行为行政处罚办法》</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对生产经营单位及其主要负责人或者其他人员拒不执行安全监管监察部门依法下达的安全监管监察指令的处罚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《安全生产违法行为行政处罚办法》</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危险物品的生产、经营、储存单位以及矿山、金属冶炼单位未建立应急救援组织或者生产经营规模较小、未指定兼职应急救援人员或未配备必要的应急救援器材、设备和物资，并进行经常性维护、保养，保证正常运转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《安全生产违法行为行政处罚办法》</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restart"/>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行政</w:t>
            </w:r>
            <w:r>
              <w:rPr>
                <w:rFonts w:hint="eastAsia" w:ascii="仿宋" w:hAnsi="仿宋" w:eastAsia="仿宋"/>
                <w:sz w:val="15"/>
                <w:szCs w:val="15"/>
              </w:rPr>
              <w:br w:type="textWrapping"/>
            </w:r>
            <w:r>
              <w:rPr>
                <w:rFonts w:hint="eastAsia" w:ascii="仿宋" w:hAnsi="仿宋" w:eastAsia="仿宋"/>
                <w:sz w:val="15"/>
                <w:szCs w:val="15"/>
              </w:rPr>
              <w:t>处罚</w:t>
            </w:r>
          </w:p>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对生产经营单位与从业人员订立协议，免除或者减轻其对从业人员因生产安全事故伤亡依法应承担的责任的处罚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《安全生产违法行为行政处罚办法》</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对生产经营单位不具备法律、行政法规和国家标准、行业标准规定的安全生产条件，经责令停产停业整顿仍不具备安全生产条件的处罚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《安全生产违法行为行政处罚办法》</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对生产经营单位转让安全生产许可证的处罚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《安全生产违法行为行政处罚办法》</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对知道或者应当知道生产经营单位未取得安全生产许可证或者其他批准文件擅自从事生产经营活动，仍为其提供生产经营场所、运输、保管、仓储等条件的处罚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《安全生产违法行为行政处罚办法》</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对生产经营单位及其有关人员弄虚作假，骗取或者勾结、串通行政审批工作人员取得安全生产许可证书及其他批准文件的处罚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《安全生产违法行为行政处罚办法》</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restart"/>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行政</w:t>
            </w:r>
            <w:r>
              <w:rPr>
                <w:rFonts w:hint="eastAsia" w:ascii="仿宋" w:hAnsi="仿宋" w:eastAsia="仿宋"/>
                <w:sz w:val="15"/>
                <w:szCs w:val="15"/>
              </w:rPr>
              <w:br w:type="textWrapping"/>
            </w:r>
            <w:r>
              <w:rPr>
                <w:rFonts w:hint="eastAsia" w:ascii="仿宋" w:hAnsi="仿宋" w:eastAsia="仿宋"/>
                <w:sz w:val="15"/>
                <w:szCs w:val="15"/>
              </w:rPr>
              <w:t>处罚</w:t>
            </w:r>
          </w:p>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未取得相应资格、资质证书的机构及其有关人员从事安全评价、认证、检测、检验工作的处罚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《安全生产违法行为行政处罚办法》</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对生产经营单位在应急预案编制前未按照规定开展风险评估和应急资源调查的处罚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《生产安全事故应急预案管理办法》</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对生产经营单位未按照规定开展应急预案评审或者论证的处罚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《生产安全事故应急预案管理办法》</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对生产经营单位未按照规定进行应急预案备案的处罚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《生产安全事故应急预案管理办法》</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对生产经营单位事故风险可能影响周边单位、人员的，未将事故风险的性质、影响范围和应急防范措施告知周边单位和人员的处罚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《生产安全事故应急预案管理办法》</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对生产经营单位未按照规定开展应急预案评估的处罚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《生产安全事故应急预案管理办法》</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对生产经营单位未按照规定进行应急预案修订并重新备案的处罚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《生产安全事故应急预案管理办法》</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restart"/>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行政</w:t>
            </w:r>
            <w:r>
              <w:rPr>
                <w:rFonts w:hint="eastAsia" w:ascii="仿宋" w:hAnsi="仿宋" w:eastAsia="仿宋"/>
                <w:sz w:val="15"/>
                <w:szCs w:val="15"/>
              </w:rPr>
              <w:br w:type="textWrapping"/>
            </w:r>
            <w:r>
              <w:rPr>
                <w:rFonts w:hint="eastAsia" w:ascii="仿宋" w:hAnsi="仿宋" w:eastAsia="仿宋"/>
                <w:sz w:val="15"/>
                <w:szCs w:val="15"/>
              </w:rPr>
              <w:t>处罚</w:t>
            </w:r>
          </w:p>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对生产经营单位未落实应急预案规定的应急物资及装备的处罚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《生产安全事故应急预案管理办法》</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对生产经营单位未将安全培训工作纳入本单位工作计划并保证安全培训工作所需资金的处罚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《生产经营单位安全培训规定》</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对生产经营单位从业人员进行安全培训期间未支付工资并承担安全培训费用的处罚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《生产经营单位安全培训规定》</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对安全培训机构不具备安全培训条件的处罚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《安全生产培训管理办法》</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对安全培训机构未按照统一的培训大纲组织教学培训的处罚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《安全生产培训管理办法》</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对安全培训机构未建立培训档案或者培训档案管理不规范的处罚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《安全生产培训管理办法》</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对安全培训机构采取不正当竞争手段，故意贬低、诋毁其他安全培训机构的处罚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《安全生产培训管理办法》</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restart"/>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行政</w:t>
            </w:r>
            <w:r>
              <w:rPr>
                <w:rFonts w:hint="eastAsia" w:ascii="仿宋" w:hAnsi="仿宋" w:eastAsia="仿宋"/>
                <w:sz w:val="15"/>
                <w:szCs w:val="15"/>
              </w:rPr>
              <w:br w:type="textWrapping"/>
            </w:r>
            <w:r>
              <w:rPr>
                <w:rFonts w:hint="eastAsia" w:ascii="仿宋" w:hAnsi="仿宋" w:eastAsia="仿宋"/>
                <w:sz w:val="15"/>
                <w:szCs w:val="15"/>
              </w:rPr>
              <w:t>处罚</w:t>
            </w:r>
          </w:p>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对生产经营单位主要负责人、安全生产管理人员、特种作业人员以欺骗、贿赂等不正当手段取得安全合格证或者特种作业操作证的处罚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《安全生产培训管理办法》</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对生产经营单位从业人员安全培训的时间少于《生产经营单位安全培训规定》或者有关标准规定的处罚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《安全生产培训管理办法》</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对生产经营单位矿山新招的井下作业人员和危险物品生产经营单位新招的危险工艺操作岗位人员，未经实习期满独立上岗作业的处罚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《安全生产培训管理办法》</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对生产经营单位相关人员未按照规定重新参加安全培训的处罚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《安全生产培训管理办法》</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对非煤矿矿山企业未取得、接受转让的、冒用或使用伪造的安全生产许可证的处罚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《非煤矿矿山企业安全生产许可证实施办法》</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restart"/>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行政</w:t>
            </w:r>
            <w:r>
              <w:rPr>
                <w:rFonts w:hint="eastAsia" w:ascii="仿宋" w:hAnsi="仿宋" w:eastAsia="仿宋"/>
                <w:sz w:val="15"/>
                <w:szCs w:val="15"/>
              </w:rPr>
              <w:br w:type="textWrapping"/>
            </w:r>
            <w:r>
              <w:rPr>
                <w:rFonts w:hint="eastAsia" w:ascii="仿宋" w:hAnsi="仿宋" w:eastAsia="仿宋"/>
                <w:sz w:val="15"/>
                <w:szCs w:val="15"/>
              </w:rPr>
              <w:t>处罚</w:t>
            </w:r>
          </w:p>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对非煤矿矿山企业在安全生产许可证有效期内出现采矿许可证有效期届满和采矿许可证被暂扣、撤销、吊销、注销的情况，未向安全生产许可证颁发管理机关报告并交回安全生产许可证的处罚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《非煤矿矿山企业安全生产许可证实施办法》</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对非煤矿矿山企业在安全生产许可证有效期内，出现需要变更安全生产许可证的情形，未按规定申请、办理变更手续的处罚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《非煤矿矿山企业安全生产许可证实施办法》</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对地质勘探单位、采掘施工单位在登记注册地以外进行跨省作业，以及跨省（自治区、直辖市）运营的石油天然气管道管理的单位，未按照规定书面报告的处罚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《非煤矿矿山企业安全生产许可证实施办法》</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对非煤矿矿山企业在安全生产许可证有效期满未办理延期手续，继续进行生产的处罚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《非煤矿矿山企业安全生产许可证实施办法》</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restart"/>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行政</w:t>
            </w:r>
            <w:r>
              <w:rPr>
                <w:rFonts w:hint="eastAsia" w:ascii="仿宋" w:hAnsi="仿宋" w:eastAsia="仿宋"/>
                <w:sz w:val="15"/>
                <w:szCs w:val="15"/>
              </w:rPr>
              <w:br w:type="textWrapping"/>
            </w:r>
            <w:r>
              <w:rPr>
                <w:rFonts w:hint="eastAsia" w:ascii="仿宋" w:hAnsi="仿宋" w:eastAsia="仿宋"/>
                <w:sz w:val="15"/>
                <w:szCs w:val="15"/>
              </w:rPr>
              <w:t>处罚</w:t>
            </w:r>
          </w:p>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对非煤矿矿山企业转让安全生产许可证的处罚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《非煤矿矿山企业安全生产许可证实施办法》</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对冶金企业违反《冶金企业和有色金属企业安全生产规定》第二十四条至第三十七条的规定，构成生产安全事故隐患的处罚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《冶金企业和有色金属企业安全生产规定》</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restart"/>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行政</w:t>
            </w:r>
            <w:r>
              <w:rPr>
                <w:rFonts w:hint="eastAsia" w:ascii="仿宋" w:hAnsi="仿宋" w:eastAsia="仿宋"/>
                <w:sz w:val="15"/>
                <w:szCs w:val="15"/>
              </w:rPr>
              <w:br w:type="textWrapping"/>
            </w:r>
            <w:r>
              <w:rPr>
                <w:rFonts w:hint="eastAsia" w:ascii="仿宋" w:hAnsi="仿宋" w:eastAsia="仿宋"/>
                <w:sz w:val="15"/>
                <w:szCs w:val="15"/>
              </w:rPr>
              <w:t>处罚</w:t>
            </w:r>
          </w:p>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对工贸企业未在有限空间作业场所设置明显的安全警示标志或未为作业人员提供符合国家标准或者行业标准的劳动防护用品的处罚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《工贸企业有限空间作业安全管理与监督暂行规定》</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对工贸企业未对有限空间的现场负责人、监护人员、作业人员和应急救援人员进行安全培训的处罚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《工贸企业有限空间作业安全管理与监督暂行规定》</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对工贸企业未对有限空间作业制定应急预案，或者定期进行演练的处罚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《工贸企业有限空间作业安全管理与监督暂行规定》</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对工贸企业未对有限空间作业进行辨识、提出防范措施、建立有限空间管理台账的处罚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《工贸企业有限空间作业安全管理与监督暂行规定》</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对工贸企业未对有限空间作业制定作业方案或者方案未经审批擅自作业的处罚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《工贸企业有限空间作业安全管理与监督暂行规定》</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对工贸企业有限空间作业未进行危险有害因素检测或者监测，并实行专人监护作业的处罚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《工贸企业有限空间作业安全管理与监督暂行规定》</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restart"/>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行政</w:t>
            </w:r>
            <w:r>
              <w:rPr>
                <w:rFonts w:hint="eastAsia" w:ascii="仿宋" w:hAnsi="仿宋" w:eastAsia="仿宋"/>
                <w:sz w:val="15"/>
                <w:szCs w:val="15"/>
              </w:rPr>
              <w:br w:type="textWrapping"/>
            </w:r>
            <w:r>
              <w:rPr>
                <w:rFonts w:hint="eastAsia" w:ascii="仿宋" w:hAnsi="仿宋" w:eastAsia="仿宋"/>
                <w:sz w:val="15"/>
                <w:szCs w:val="15"/>
              </w:rPr>
              <w:t>处罚</w:t>
            </w:r>
          </w:p>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对危险化学品生产企业企业出租、出借或者以其他形式转让安全生产许可证的处罚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《危险化学品生产企业安全生产许可证实施办法》</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对危险化学品生产企业在安全生产许可证有效期届满未办理延期手续，继续进行生产的处罚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《危险化学品生产企业安全生产许可证实施办法》</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危险化学品生产企业在安全生产许可证有效期内主要负责人、企业名称、注册地址、隶属关系发生变更或者新增产品、改变工艺技术对企业安全生产产生重大影响，未按照规定的时限提出安全生产许可证变更申请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《危险化学品生产企业安全生产许可证实施办法》</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对危险化学品生产企业在安全生产许可证有效期内，其危险化学品建设项目安全设施竣工验收合格后，未按照规定的时限提出安全生产许可证变更申请并且擅自投入运行的处罚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《危险化学品生产企业安全生产许可证实施办法》</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restart"/>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行政</w:t>
            </w:r>
            <w:r>
              <w:rPr>
                <w:rFonts w:hint="eastAsia" w:ascii="仿宋" w:hAnsi="仿宋" w:eastAsia="仿宋"/>
                <w:sz w:val="15"/>
                <w:szCs w:val="15"/>
              </w:rPr>
              <w:br w:type="textWrapping"/>
            </w:r>
            <w:r>
              <w:rPr>
                <w:rFonts w:hint="eastAsia" w:ascii="仿宋" w:hAnsi="仿宋" w:eastAsia="仿宋"/>
                <w:sz w:val="15"/>
                <w:szCs w:val="15"/>
              </w:rPr>
              <w:t>处罚</w:t>
            </w:r>
          </w:p>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对发现危险化学品生产企业隐瞒有关情况或者提供虚假材料申请安全生产许可证的处罚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《危险化学品生产企业安全生产许可证实施办法》</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对未经许可经营、超许可范围经营、许可证过期继续经营烟花爆竹的处罚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《烟花爆竹经营许可实施办法》</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对从事烟花爆竹批发企业在城市建成区内设立烟花爆竹储存仓库，或者在批发（展示）场所摆放有药样品的处罚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《烟花爆竹经营许可实施办法》</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对从事烟花爆竹批发企业采购和销售质量不符合国家标准或者行业标准规定的烟花爆竹的处罚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《烟花爆竹经营许可实施办法》</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对从事烟花爆竹批发企业在仓库内违反国家标准或者行业标准规定储存烟花爆竹的处罚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《烟花爆竹经营许可实施办法》</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对从事烟花爆竹批发企业在烟花爆竹经营许可证载明的仓库以外储存烟花爆竹的处罚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《烟花爆竹经营许可实施办法》</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restart"/>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行政</w:t>
            </w:r>
            <w:r>
              <w:rPr>
                <w:rFonts w:hint="eastAsia" w:ascii="仿宋" w:hAnsi="仿宋" w:eastAsia="仿宋"/>
                <w:sz w:val="15"/>
                <w:szCs w:val="15"/>
              </w:rPr>
              <w:br w:type="textWrapping"/>
            </w:r>
            <w:r>
              <w:rPr>
                <w:rFonts w:hint="eastAsia" w:ascii="仿宋" w:hAnsi="仿宋" w:eastAsia="仿宋"/>
                <w:sz w:val="15"/>
                <w:szCs w:val="15"/>
              </w:rPr>
              <w:t>处罚</w:t>
            </w:r>
          </w:p>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对从事烟花爆竹批发企业对假冒伪劣、过期、含有超量、违禁药物以及其他存在严重质量问题的烟花爆竹未及时销毁的处罚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《烟花爆竹经营许可实施办法》</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对从事烟花爆竹批发企业未执行合同管理、流向登记制度或者未按照规定应用烟花爆竹流向管理信息系统的处罚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《烟花爆竹经营许可实施办法》</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对从事烟花爆竹批发企业未将黑火药、引火线的采购、销售记录报所在地县级安全监管局备案的处罚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《烟花爆竹经营许可实施办法》</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对从事烟花爆竹批发企业仓储设施新建、改建、扩建后，未重新申请办理许可手续的处罚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《烟花爆竹经营许可实施办法》</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对从事烟花爆竹批发企业变更企业名称、主要负责人、注册地址，未申请办理许可证变更手续的处罚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《烟花爆竹经营许可实施办法》</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restart"/>
            <w:shd w:val="clear" w:color="auto" w:fill="auto"/>
            <w:vAlign w:val="center"/>
          </w:tcPr>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r>
              <w:rPr>
                <w:rFonts w:hint="eastAsia" w:ascii="仿宋" w:hAnsi="仿宋" w:eastAsia="仿宋"/>
                <w:sz w:val="15"/>
                <w:szCs w:val="15"/>
              </w:rPr>
              <w:t>行政</w:t>
            </w:r>
            <w:r>
              <w:rPr>
                <w:rFonts w:hint="eastAsia" w:ascii="仿宋" w:hAnsi="仿宋" w:eastAsia="仿宋"/>
                <w:sz w:val="15"/>
                <w:szCs w:val="15"/>
              </w:rPr>
              <w:br w:type="textWrapping"/>
            </w:r>
            <w:r>
              <w:rPr>
                <w:rFonts w:hint="eastAsia" w:ascii="仿宋" w:hAnsi="仿宋" w:eastAsia="仿宋"/>
                <w:sz w:val="15"/>
                <w:szCs w:val="15"/>
              </w:rPr>
              <w:t>处罚</w:t>
            </w: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r>
              <w:rPr>
                <w:rFonts w:hint="eastAsia" w:ascii="仿宋" w:hAnsi="仿宋" w:eastAsia="仿宋"/>
                <w:sz w:val="15"/>
                <w:szCs w:val="15"/>
              </w:rPr>
              <w:t>行政</w:t>
            </w:r>
            <w:r>
              <w:rPr>
                <w:rFonts w:hint="eastAsia" w:ascii="仿宋" w:hAnsi="仿宋" w:eastAsia="仿宋"/>
                <w:sz w:val="15"/>
                <w:szCs w:val="15"/>
              </w:rPr>
              <w:br w:type="textWrapping"/>
            </w:r>
            <w:r>
              <w:rPr>
                <w:rFonts w:hint="eastAsia" w:ascii="仿宋" w:hAnsi="仿宋" w:eastAsia="仿宋"/>
                <w:sz w:val="15"/>
                <w:szCs w:val="15"/>
              </w:rPr>
              <w:t>处罚</w:t>
            </w:r>
          </w:p>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对从事烟花爆竹批发企业向未取得零售许可证的单位或者个人销售烟花爆竹的处罚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《烟花爆竹经营许可实施办法》</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对从事烟花爆竹批发企业向未取得烟花爆竹安全生产许可证的单位或者个人销售烟火药、黑火药、引火线的处罚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《烟花爆竹经营许可实施办法》</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对从事烟花爆竹批发企业向零售经营者供应非法生产、经营的烟花爆竹的处罚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《烟花爆竹经营许可实施办法》</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对从事烟花爆竹批发企业向零售经营者供应礼花弹等按照国家标准规定应当由专业人员燃放的烟花爆竹的处罚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《烟花爆竹经营许可实施办法》</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对从事烟花爆竹零售经营者销售非法生产、经营的烟花爆竹的处罚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《烟花爆竹经营许可实施办法》</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对从事烟花爆竹零售经营者销售礼花弹等按照国家标准规定应当由专业人员燃放的烟花爆竹的处罚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《烟花爆竹经营许可实施办法》</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对从事烟花爆竹零售经营者变更零售点名称、主要负责人或者经营场所，未重新办理零售许可证的处罚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《烟花爆竹经营许可实施办法》</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对从事烟花爆竹零售经营者存放的烟花爆竹数量超过零售许可证载明范围的处罚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《烟花爆竹经营许可实施办法》</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对烟花爆竹经营单位出租、出借、转让、买卖烟花爆竹经营许可证的处罚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《烟花爆竹经营许可实施办法》</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对冒用或者使用伪造的烟花爆竹经营许可证的处罚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《烟花爆竹经营许可实施办法》</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对生产、经营非药品类易制毒化学品的单位或者个人拒不接受安全生产监督管理部门监督检查的处罚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《非药品类易制毒化学品生产、经营许可办法》</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对矿山企业未按照规定建立健全领导带班下井制度或者未制定领导带班下井月度计划的处罚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《金属非金属地下矿山企业领导带班下井及监督检查暂行规定》</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对矿山企业未制定领导带班下井制度的处罚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《金属非金属地下矿山企业领导带班下井及监督检查暂行规定》</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restart"/>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行政</w:t>
            </w:r>
            <w:r>
              <w:rPr>
                <w:rFonts w:hint="eastAsia" w:ascii="仿宋" w:hAnsi="仿宋" w:eastAsia="仿宋"/>
                <w:sz w:val="15"/>
                <w:szCs w:val="15"/>
              </w:rPr>
              <w:br w:type="textWrapping"/>
            </w:r>
            <w:r>
              <w:rPr>
                <w:rFonts w:hint="eastAsia" w:ascii="仿宋" w:hAnsi="仿宋" w:eastAsia="仿宋"/>
                <w:sz w:val="15"/>
                <w:szCs w:val="15"/>
              </w:rPr>
              <w:t>处罚</w:t>
            </w:r>
          </w:p>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对矿山企业未按照规定公告领导带班下井月度计划的处罚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《金属非金属地下矿山企业领导带班下井及监督检查暂行规定》</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对矿山企业未按照规定公示领导带班下井月度计划完成情况的处罚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《金属非金属地下矿山企业领导带班下井及监督检查暂行规定》</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对矿山企业领导未按照规定填写带班下井交接班记录、带班下井登记档案，或者弄虚作假的处罚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《金属非金属地下矿山企业领导带班下井及监督检查暂行规定》</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对矿山企业领导未按照规定带班下井的处罚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《金属非金属地下矿山企业领导带班下井及监督检查暂行规定》</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对发生生产安全事故而没有领导带班下井的矿山企业的处罚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《金属非金属地下矿山企业领导带班下井及监督检查暂行规定》</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对发生生产安全事故而没有领导带班下井的矿山企业，对其主要负责人的处罚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《金属非金属地下矿山企业领导带班下井及监督检查暂行规定》</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对违反《小型露天采石场安全管理与监督检查规定》第六条规定的处罚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《小型露天采石场安全管理与监督检查规定》</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违反对违反《小型露天采石场安全管理与监督检查规定》第十条第一款规定的处罚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《小型露天采石场安全管理与监督检查规定》</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restart"/>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行政</w:t>
            </w:r>
            <w:r>
              <w:rPr>
                <w:rFonts w:hint="eastAsia" w:ascii="仿宋" w:hAnsi="仿宋" w:eastAsia="仿宋"/>
                <w:sz w:val="15"/>
                <w:szCs w:val="15"/>
              </w:rPr>
              <w:br w:type="textWrapping"/>
            </w:r>
            <w:r>
              <w:rPr>
                <w:rFonts w:hint="eastAsia" w:ascii="仿宋" w:hAnsi="仿宋" w:eastAsia="仿宋"/>
                <w:sz w:val="15"/>
                <w:szCs w:val="15"/>
              </w:rPr>
              <w:t>处罚</w:t>
            </w:r>
          </w:p>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对违反《小型露天采石场安全管理与监督检查规定》第十二条、第十三条第一、二款、第十四条、第十五条、第十六条、第十七条、第十九条、第二十条第一款、第二十一条、第二十二条规定的处罚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《小型露天采石场安全管理与监督检查规定》</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对违反《小型露天采石场安全管理与监督检查规定》第二十三条、第二十四条、第二十五条、第二十八条规定的处罚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《小型露天采石场安全管理与监督检查规定》</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对发包单位违反规定，违章指挥或者强令承包单位及其从业人员冒险作业的处罚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《非煤矿山外包工程安全管理暂行办法》</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对发包单位与承包单位、总承包单位与分项承包单位未依照规定签订安全生产管理协议的处罚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《非煤矿山外包工程安全管理暂行办法》</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对有关发包单位违反规定，未对承包单位实施安全生产监督检查或者考核的处罚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《非煤矿山外包工程安全管理暂行办法》</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restart"/>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行政</w:t>
            </w:r>
            <w:r>
              <w:rPr>
                <w:rFonts w:hint="eastAsia" w:ascii="仿宋" w:hAnsi="仿宋" w:eastAsia="仿宋"/>
                <w:sz w:val="15"/>
                <w:szCs w:val="15"/>
              </w:rPr>
              <w:br w:type="textWrapping"/>
            </w:r>
            <w:r>
              <w:rPr>
                <w:rFonts w:hint="eastAsia" w:ascii="仿宋" w:hAnsi="仿宋" w:eastAsia="仿宋"/>
                <w:sz w:val="15"/>
                <w:szCs w:val="15"/>
              </w:rPr>
              <w:t>处罚</w:t>
            </w:r>
          </w:p>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对有关发包单位违反规定，未将承包单位及其项目部纳入本单位的安全管理体系，实行统一管理的处罚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《非煤矿山外包工程安全管理暂行办法》</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对有关发包单位违反规定，未向承包单位进行外包工程技术交底，或者未按照合同约定向承包单位提供有关资料的处罚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《非煤矿山外包工程安全管理暂行办法》</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对地下矿山实行分项发包的发包单位违反规定，在地下矿山正常生产期间，将主通风、主提升、供排水、供配电、主供风系统及其设备设施的运行管理进行分项发包的处罚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《非煤矿山外包工程安全管理暂行办法》</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对承包地下矿山工程的项目部负责人违反规定，同时兼任其他工程的项目部负责人的处罚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《非煤矿山外包工程安全管理暂行办法》</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对承包单位违反规定，将发包单位投入的安全资金挪作他用的处罚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《非煤矿山外包工程安全管理暂行办法》</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restart"/>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行政</w:t>
            </w:r>
            <w:r>
              <w:rPr>
                <w:rFonts w:hint="eastAsia" w:ascii="仿宋" w:hAnsi="仿宋" w:eastAsia="仿宋"/>
                <w:sz w:val="15"/>
                <w:szCs w:val="15"/>
              </w:rPr>
              <w:br w:type="textWrapping"/>
            </w:r>
            <w:r>
              <w:rPr>
                <w:rFonts w:hint="eastAsia" w:ascii="仿宋" w:hAnsi="仿宋" w:eastAsia="仿宋"/>
                <w:sz w:val="15"/>
                <w:szCs w:val="15"/>
              </w:rPr>
              <w:t>处罚</w:t>
            </w:r>
          </w:p>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对承包单位未按照规定排查治理事故隐患的处罚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《非煤矿山外包工程安全管理暂行办法》</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对承包单位违反规定对项目部疏于管理，未定期对项目部人员进行安全生产教育培训与考核或者未对项目部进行安全生产检查的处罚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《非煤矿山外包工程安全管理暂行办法》</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对承包单位违反规定，在登记注册的省、自治区、直辖市以外从事施工作业，未向作业所在地县级人民政府安全生产监督管理部门书面报告本单位取得有关许可和施工资质，以及所承包工程情况的处罚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《非煤矿山外包工程安全管理暂行办法》</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对食品生产企业未按照规定设置安全生产管理机构或者配备安全生产管理人员的处罚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《食品生产企业安全生产监督管理暂行规定》</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对食品生产企业未如实记录安全生产教育和培训情况的处罚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《食品生产企业安全生产监督管理暂行规定》</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对食品生产企业未将事故隐患排查治理情况如实记录或者未向从业人员通报的处罚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《食品生产企业安全生产监督管理暂行规定》</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restart"/>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行政</w:t>
            </w:r>
            <w:r>
              <w:rPr>
                <w:rFonts w:hint="eastAsia" w:ascii="仿宋" w:hAnsi="仿宋" w:eastAsia="仿宋"/>
                <w:sz w:val="15"/>
                <w:szCs w:val="15"/>
              </w:rPr>
              <w:br w:type="textWrapping"/>
            </w:r>
            <w:r>
              <w:rPr>
                <w:rFonts w:hint="eastAsia" w:ascii="仿宋" w:hAnsi="仿宋" w:eastAsia="仿宋"/>
                <w:sz w:val="15"/>
                <w:szCs w:val="15"/>
              </w:rPr>
              <w:t>处罚</w:t>
            </w:r>
          </w:p>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对新建、改建、扩建危险化学品管道建设项目未经安全条件审查的处罚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《危险化学品输送管道安全管理规定》</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对管道单位未对危险化学品管道设置明显的安全警示标志的处罚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《危险化学品输送管道安全管理规定》</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对管道单位未按照规定对管道进行检测、维护的处罚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《危险化学品输送管道安全管理规定》</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对转产、停产、停止使用的危险化学品管道，管道单位未采取有效措施及时、妥善处置的处罚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《危险化学品输送管道安全管理规定》</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对转产、停产、停止使用的危险化学品管道，管道单位未按照规定将处置方案报县级以上安全生产监督管理部门的处罚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《危险化学品输送管道安全管理规定》</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对危险化学品单位未按照规定要求对重大危险源进行安全评估或者安全评价的处罚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《危险化学品重大危险源监督管理暂行规定》</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restart"/>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行政</w:t>
            </w:r>
            <w:r>
              <w:rPr>
                <w:rFonts w:hint="eastAsia" w:ascii="仿宋" w:hAnsi="仿宋" w:eastAsia="仿宋"/>
                <w:sz w:val="15"/>
                <w:szCs w:val="15"/>
              </w:rPr>
              <w:br w:type="textWrapping"/>
            </w:r>
            <w:r>
              <w:rPr>
                <w:rFonts w:hint="eastAsia" w:ascii="仿宋" w:hAnsi="仿宋" w:eastAsia="仿宋"/>
                <w:sz w:val="15"/>
                <w:szCs w:val="15"/>
              </w:rPr>
              <w:t>处罚</w:t>
            </w:r>
          </w:p>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对危险化学品单位未按照规定要求对重大危险源进行登记建档的处罚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《危险化学品重大危险源监督管理暂行规定》</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对危险化学品单位未按照规定及相关标准要求对重大危险源进行安全监测监控的处罚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《危险化学品重大危险源监督管理暂行规定》</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对危险化学品单位未制定重大危险源事故应急预案的处罚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《危险化学品重大危险源监督管理暂行规定》</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对危险化学品单位未在构成重大危险源的场所设置明显的安全警示标志的处罚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《危险化学品重大危险源监督管理暂行规定》</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对危险化学品单位未对重大危险源中的设备、设施等进行定期检测、检验的处罚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《危险化学品重大危险源监督管理暂行规定》</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对危险化学品单位未按照标准对重大危险源进行辨识的处罚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《危险化学品重大危险源监督管理暂行规定》</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对危险化学品单位未按照本规定明确重大危险源中关键装置、重点部位的责任人或者责任机构的处罚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《危险化学品重大危险源监督管理暂行规定》</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restart"/>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行政</w:t>
            </w:r>
            <w:r>
              <w:rPr>
                <w:rFonts w:hint="eastAsia" w:ascii="仿宋" w:hAnsi="仿宋" w:eastAsia="仿宋"/>
                <w:sz w:val="15"/>
                <w:szCs w:val="15"/>
              </w:rPr>
              <w:br w:type="textWrapping"/>
            </w:r>
            <w:r>
              <w:rPr>
                <w:rFonts w:hint="eastAsia" w:ascii="仿宋" w:hAnsi="仿宋" w:eastAsia="仿宋"/>
                <w:sz w:val="15"/>
                <w:szCs w:val="15"/>
              </w:rPr>
              <w:t>处罚</w:t>
            </w:r>
          </w:p>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对危险化学品单位未按照本规定建立应急救援组织或者配备应急救援人员，以及配备必要的防护装备及器材、设备、物资，并保障其完好的处罚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《危险化学品重大危险源监督管理暂行规定》</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对危险化学品单位未按照本规定进行重大危险源备案或者核销的处罚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《危险化学品重大危险源监督管理暂行规定》</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对危险化学品单位未将重大危险源可能引发的事故后果、应急措施等信息告知可能受影响的单位、区域及人员的处罚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《危险化学品重大危险源监督管理暂行规定》</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对危险化学品单位未按照本规定要求开展重大危险源事故应急预案演练的处罚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《危险化学品重大危险源监督管理暂行规定》</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对危险化学品单位未按照本规定对重大危险源的安全生产状况进行定期检查，采取措施消除事故隐患的处罚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《危险化学品重大危险源监督管理暂行规定》</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restart"/>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行政</w:t>
            </w:r>
            <w:r>
              <w:rPr>
                <w:rFonts w:hint="eastAsia" w:ascii="仿宋" w:hAnsi="仿宋" w:eastAsia="仿宋"/>
                <w:sz w:val="15"/>
                <w:szCs w:val="15"/>
              </w:rPr>
              <w:br w:type="textWrapping"/>
            </w:r>
            <w:r>
              <w:rPr>
                <w:rFonts w:hint="eastAsia" w:ascii="仿宋" w:hAnsi="仿宋" w:eastAsia="仿宋"/>
                <w:sz w:val="15"/>
                <w:szCs w:val="15"/>
              </w:rPr>
              <w:t>处罚</w:t>
            </w:r>
          </w:p>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对地质勘探单位未按照本规定设立安全生产管理机构或者配备专职安全生产管理人员的处罚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《金属与非金属矿产资源地质勘探安全生产监督管理暂行规定》</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对地质勘探单位特种作业人员未持证上岗作业的处罚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《金属与非金属矿产资源地质勘探安全生产监督管理暂行规定》</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对地质勘探单位从事坑探工程作业的人员未按照规定进行安全生产教育和培训的处罚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《金属与非金属矿产资源地质勘探安全生产监督管理暂行规定》</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对地质勘探单位未按照本规定建立有关安全生产制度和规程的处罚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《金属与非金属矿产资源地质勘探安全生产监督管理暂行规定》</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对地质勘探单位未按照规定提取和使用安全生产费用的处罚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《金属与非金属矿产资源地质勘探安全生产监督管理暂行规定》</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对地质勘探单位坑探工程安全专篇未经安全生产监督管理部门审查同意擅自施工的处罚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《金属与非金属矿产资源地质勘探安全生产监督管理暂行规定》</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对地质勘探单位未按照规定向工作区域所在地县级安全生产监督管理部门书面报告的处罚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《金属与非金属矿产资源地质勘探安全生产监督管理暂行规定》</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行政</w:t>
            </w:r>
            <w:r>
              <w:rPr>
                <w:rFonts w:hint="eastAsia" w:ascii="仿宋" w:hAnsi="仿宋" w:eastAsia="仿宋"/>
                <w:sz w:val="15"/>
                <w:szCs w:val="15"/>
              </w:rPr>
              <w:br w:type="textWrapping"/>
            </w:r>
            <w:r>
              <w:rPr>
                <w:rFonts w:hint="eastAsia" w:ascii="仿宋" w:hAnsi="仿宋" w:eastAsia="仿宋"/>
                <w:sz w:val="15"/>
                <w:szCs w:val="15"/>
              </w:rPr>
              <w:t>处罚</w:t>
            </w:r>
          </w:p>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对地质勘探单位将其承担的地质勘探工程项目转包给不具备安全生产条件或者相应资质的地质勘探单位的处罚</w:t>
            </w:r>
          </w:p>
        </w:tc>
        <w:tc>
          <w:tcPr>
            <w:tcW w:w="1843" w:type="dxa"/>
            <w:shd w:val="clear" w:color="auto" w:fill="auto"/>
            <w:vAlign w:val="center"/>
          </w:tcPr>
          <w:p>
            <w:pPr>
              <w:pStyle w:val="13"/>
              <w:ind w:firstLine="0" w:firstLineChars="0"/>
              <w:jc w:val="center"/>
              <w:rPr>
                <w:rFonts w:ascii="仿宋" w:hAnsi="仿宋" w:eastAsia="仿宋"/>
                <w:sz w:val="15"/>
                <w:szCs w:val="15"/>
              </w:rPr>
            </w:pPr>
            <w:r>
              <w:rPr>
                <w:rFonts w:hint="eastAsia" w:ascii="仿宋" w:hAnsi="仿宋" w:eastAsia="仿宋"/>
                <w:sz w:val="15"/>
                <w:szCs w:val="15"/>
              </w:rPr>
              <w:t>行政处罚决定书</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《金属与非金属矿产资源地质勘探安全生产监督管理暂行规定》</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restart"/>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行政强制</w:t>
            </w: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有根据认为不符合保障安全生产的国家标准或者行业标准的设施、设备、器材以及违法生产、储存、使用、经营、运输的危险物品予以查封或者扣押及对违法生产、储存、使用、经营危险物品的作业场所予以查封</w:t>
            </w:r>
          </w:p>
        </w:tc>
        <w:tc>
          <w:tcPr>
            <w:tcW w:w="1843" w:type="dxa"/>
            <w:shd w:val="clear" w:color="auto" w:fill="auto"/>
            <w:vAlign w:val="center"/>
          </w:tcPr>
          <w:p>
            <w:pPr>
              <w:pStyle w:val="13"/>
              <w:ind w:firstLine="0" w:firstLineChars="0"/>
              <w:jc w:val="center"/>
              <w:rPr>
                <w:rFonts w:ascii="仿宋" w:hAnsi="仿宋" w:eastAsia="仿宋"/>
                <w:sz w:val="15"/>
                <w:szCs w:val="15"/>
              </w:rPr>
            </w:pP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《中华人民共和国安全生产法》</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对存在重大事故隐患的生产经营单位采取停止供电、停止供应民用爆炸物品等强制措施</w:t>
            </w:r>
          </w:p>
        </w:tc>
        <w:tc>
          <w:tcPr>
            <w:tcW w:w="1843" w:type="dxa"/>
            <w:shd w:val="clear" w:color="auto" w:fill="auto"/>
            <w:vAlign w:val="center"/>
          </w:tcPr>
          <w:p>
            <w:pPr>
              <w:jc w:val="center"/>
              <w:rPr>
                <w:rFonts w:ascii="仿宋" w:hAnsi="仿宋" w:eastAsia="仿宋"/>
                <w:sz w:val="15"/>
                <w:szCs w:val="15"/>
              </w:rPr>
            </w:pP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《中华人民共和国安全生产法》</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restart"/>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安全生产</w:t>
            </w:r>
          </w:p>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隐患管理</w:t>
            </w:r>
          </w:p>
        </w:tc>
        <w:tc>
          <w:tcPr>
            <w:tcW w:w="1843"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重大隐患排查、挂牌督办及其整改情况，安全生产举报电话等</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《安全生产法》、《中华人民共和国政府信息公开条例》(国务院令第711号）、《中共中央 国务院关于推进安全生产领域改革发展的意见》</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黑名单管理</w:t>
            </w:r>
          </w:p>
        </w:tc>
        <w:tc>
          <w:tcPr>
            <w:tcW w:w="1843" w:type="dxa"/>
            <w:shd w:val="clear" w:color="auto" w:fill="auto"/>
            <w:vAlign w:val="center"/>
          </w:tcPr>
          <w:p>
            <w:pPr>
              <w:rPr>
                <w:rFonts w:ascii="仿宋" w:hAnsi="仿宋" w:eastAsia="仿宋"/>
                <w:sz w:val="15"/>
                <w:szCs w:val="15"/>
              </w:rPr>
            </w:pPr>
            <w:r>
              <w:rPr>
                <w:rFonts w:hint="eastAsia" w:ascii="仿宋" w:hAnsi="仿宋" w:eastAsia="仿宋"/>
                <w:sz w:val="15"/>
                <w:szCs w:val="15"/>
              </w:rPr>
              <w:t>列入或撤销纳入安全生产黑名单管理的企业信息，具体企业名称、证照编号、经营地址、负责人姓名等</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《中华人民共和国政府信息公开条例》（国务院令第711号）、《社会信用体系建设规划纲要（2014-2020年）》</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vMerge w:val="continue"/>
            <w:shd w:val="clear" w:color="auto" w:fill="auto"/>
            <w:vAlign w:val="center"/>
          </w:tcPr>
          <w:p>
            <w:pPr>
              <w:spacing w:line="240" w:lineRule="exact"/>
              <w:jc w:val="center"/>
              <w:rPr>
                <w:rFonts w:ascii="仿宋" w:hAnsi="仿宋" w:eastAsia="仿宋"/>
                <w:sz w:val="15"/>
                <w:szCs w:val="15"/>
              </w:rPr>
            </w:pPr>
          </w:p>
        </w:tc>
        <w:tc>
          <w:tcPr>
            <w:tcW w:w="1701"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事故通报</w:t>
            </w:r>
          </w:p>
        </w:tc>
        <w:tc>
          <w:tcPr>
            <w:tcW w:w="1843" w:type="dxa"/>
            <w:shd w:val="clear" w:color="auto" w:fill="auto"/>
            <w:vAlign w:val="center"/>
          </w:tcPr>
          <w:p>
            <w:pPr>
              <w:rPr>
                <w:rFonts w:ascii="仿宋" w:hAnsi="仿宋" w:eastAsia="仿宋"/>
                <w:sz w:val="15"/>
                <w:szCs w:val="15"/>
              </w:rPr>
            </w:pPr>
            <w:r>
              <w:rPr>
                <w:rFonts w:hint="eastAsia" w:ascii="仿宋" w:hAnsi="仿宋" w:eastAsia="仿宋"/>
                <w:sz w:val="15"/>
                <w:szCs w:val="15"/>
              </w:rPr>
              <w:t>事故信息：本部门接报查实的各类生产安全事故情况（事故发生时间、地点、伤亡情况、简要经过）</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《安全生产法》、《中华人民共和国政府信息公开条例》(国务院令第711号）、《中共中央 国务院关于推进安全生产领域改革发展的意见》</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shd w:val="clear" w:color="auto" w:fill="auto"/>
            <w:vAlign w:val="center"/>
          </w:tcPr>
          <w:p>
            <w:pPr>
              <w:pStyle w:val="13"/>
              <w:numPr>
                <w:ilvl w:val="0"/>
                <w:numId w:val="1"/>
              </w:numPr>
              <w:spacing w:line="240" w:lineRule="exact"/>
              <w:ind w:firstLineChars="0"/>
              <w:jc w:val="center"/>
              <w:rPr>
                <w:rFonts w:ascii="仿宋" w:hAnsi="仿宋" w:eastAsia="仿宋"/>
                <w:sz w:val="15"/>
                <w:szCs w:val="15"/>
              </w:rPr>
            </w:pPr>
          </w:p>
        </w:tc>
        <w:tc>
          <w:tcPr>
            <w:tcW w:w="85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应急管理</w:t>
            </w:r>
          </w:p>
        </w:tc>
        <w:tc>
          <w:tcPr>
            <w:tcW w:w="1701" w:type="dxa"/>
            <w:shd w:val="clear" w:color="auto" w:fill="auto"/>
            <w:vAlign w:val="center"/>
          </w:tcPr>
          <w:p>
            <w:pPr>
              <w:jc w:val="center"/>
              <w:rPr>
                <w:rFonts w:ascii="仿宋" w:hAnsi="仿宋" w:eastAsia="仿宋"/>
                <w:sz w:val="15"/>
                <w:szCs w:val="15"/>
              </w:rPr>
            </w:pPr>
          </w:p>
        </w:tc>
        <w:tc>
          <w:tcPr>
            <w:tcW w:w="1843"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承担处置主责、非敏感的应急信息，包括事故灾害类预警信息、事故信息、事故后采取的应急处置措施和应对结果等</w:t>
            </w:r>
          </w:p>
        </w:tc>
        <w:tc>
          <w:tcPr>
            <w:tcW w:w="2126" w:type="dxa"/>
            <w:shd w:val="clear" w:color="auto" w:fill="auto"/>
            <w:vAlign w:val="center"/>
          </w:tcPr>
          <w:p>
            <w:pPr>
              <w:jc w:val="center"/>
              <w:rPr>
                <w:rFonts w:ascii="仿宋" w:hAnsi="仿宋" w:eastAsia="仿宋"/>
                <w:sz w:val="15"/>
                <w:szCs w:val="15"/>
              </w:rPr>
            </w:pPr>
            <w:r>
              <w:rPr>
                <w:rFonts w:hint="eastAsia" w:ascii="仿宋" w:hAnsi="仿宋" w:eastAsia="仿宋"/>
                <w:sz w:val="15"/>
                <w:szCs w:val="15"/>
              </w:rPr>
              <w:t>《中华人民共和国政府信息公开条例》(国务院令第711号），《中华人民共和国突发事件应对法》，中央办公厅、国务院办公厅《关于全面加强政务公开工作的意见》</w:t>
            </w:r>
          </w:p>
        </w:tc>
        <w:tc>
          <w:tcPr>
            <w:tcW w:w="1701"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信息形成或变更之日起20个工作日内公开</w:t>
            </w:r>
          </w:p>
        </w:tc>
        <w:tc>
          <w:tcPr>
            <w:tcW w:w="1134" w:type="dxa"/>
            <w:shd w:val="clear" w:color="auto" w:fill="auto"/>
            <w:vAlign w:val="center"/>
          </w:tcPr>
          <w:p>
            <w:pPr>
              <w:jc w:val="center"/>
            </w:pPr>
            <w:r>
              <w:rPr>
                <w:rFonts w:hint="eastAsia" w:ascii="仿宋" w:hAnsi="仿宋" w:eastAsia="仿宋"/>
                <w:sz w:val="15"/>
                <w:szCs w:val="15"/>
              </w:rPr>
              <w:t>新城区应急管理局</w:t>
            </w:r>
          </w:p>
        </w:tc>
        <w:tc>
          <w:tcPr>
            <w:tcW w:w="1276"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■政府网站</w:t>
            </w:r>
          </w:p>
        </w:tc>
        <w:tc>
          <w:tcPr>
            <w:tcW w:w="705"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567" w:type="dxa"/>
            <w:shd w:val="clear" w:color="auto" w:fill="auto"/>
            <w:vAlign w:val="center"/>
          </w:tcPr>
          <w:p>
            <w:pPr>
              <w:spacing w:line="240" w:lineRule="exact"/>
              <w:jc w:val="center"/>
              <w:rPr>
                <w:rFonts w:ascii="仿宋" w:hAnsi="仿宋" w:eastAsia="仿宋"/>
                <w:sz w:val="15"/>
                <w:szCs w:val="15"/>
              </w:rPr>
            </w:pPr>
          </w:p>
        </w:tc>
        <w:tc>
          <w:tcPr>
            <w:tcW w:w="709" w:type="dxa"/>
          </w:tcPr>
          <w:p>
            <w:pPr>
              <w:spacing w:line="240" w:lineRule="exact"/>
              <w:jc w:val="center"/>
              <w:rPr>
                <w:rFonts w:ascii="仿宋" w:hAnsi="仿宋" w:eastAsia="仿宋"/>
                <w:sz w:val="15"/>
                <w:szCs w:val="15"/>
              </w:rPr>
            </w:pPr>
          </w:p>
        </w:tc>
      </w:tr>
      <w:bookmarkEnd w:id="0"/>
    </w:tbl>
    <w:p/>
    <w:p/>
    <w:p/>
    <w:p>
      <w:pPr>
        <w:rPr>
          <w:rFonts w:ascii="方正小标宋简体" w:hAnsi="方正小标宋简体" w:eastAsia="方正小标宋简体" w:cs="方正小标宋简体"/>
        </w:rPr>
      </w:pPr>
    </w:p>
    <w:sectPr>
      <w:pgSz w:w="16838" w:h="11906" w:orient="landscape"/>
      <w:pgMar w:top="1123" w:right="816" w:bottom="1123" w:left="816"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02F54C7"/>
    <w:multiLevelType w:val="multilevel"/>
    <w:tmpl w:val="502F54C7"/>
    <w:lvl w:ilvl="0" w:tentative="0">
      <w:start w:val="1"/>
      <w:numFmt w:val="decimal"/>
      <w:lvlText w:val="%1"/>
      <w:lvlJc w:val="center"/>
      <w:pPr>
        <w:ind w:left="420" w:hanging="132"/>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hmOGVkM2Y1ZTFlOTA3MjlkNGNjOTI5ZTk5YmIyYjkifQ=="/>
  </w:docVars>
  <w:rsids>
    <w:rsidRoot w:val="00571D39"/>
    <w:rsid w:val="000174FE"/>
    <w:rsid w:val="00023F97"/>
    <w:rsid w:val="0003217C"/>
    <w:rsid w:val="000334CE"/>
    <w:rsid w:val="00053FE7"/>
    <w:rsid w:val="00075843"/>
    <w:rsid w:val="00076D12"/>
    <w:rsid w:val="00095D2E"/>
    <w:rsid w:val="000A2D00"/>
    <w:rsid w:val="000A7D35"/>
    <w:rsid w:val="000C1295"/>
    <w:rsid w:val="000D6C91"/>
    <w:rsid w:val="00104E74"/>
    <w:rsid w:val="001146A5"/>
    <w:rsid w:val="00117CD1"/>
    <w:rsid w:val="00133C0A"/>
    <w:rsid w:val="00133EE3"/>
    <w:rsid w:val="0015190C"/>
    <w:rsid w:val="00177238"/>
    <w:rsid w:val="00191F4F"/>
    <w:rsid w:val="001A0BD5"/>
    <w:rsid w:val="001A72DD"/>
    <w:rsid w:val="001D2AC9"/>
    <w:rsid w:val="001D68F3"/>
    <w:rsid w:val="001E26A8"/>
    <w:rsid w:val="001F192D"/>
    <w:rsid w:val="0020347C"/>
    <w:rsid w:val="00230C88"/>
    <w:rsid w:val="002A2D23"/>
    <w:rsid w:val="002B4B38"/>
    <w:rsid w:val="00326317"/>
    <w:rsid w:val="00330C1D"/>
    <w:rsid w:val="003449E4"/>
    <w:rsid w:val="0037669E"/>
    <w:rsid w:val="003851C9"/>
    <w:rsid w:val="003B7FD3"/>
    <w:rsid w:val="003C14C9"/>
    <w:rsid w:val="003C160E"/>
    <w:rsid w:val="003D5F50"/>
    <w:rsid w:val="003E07F6"/>
    <w:rsid w:val="003E2B52"/>
    <w:rsid w:val="003E355E"/>
    <w:rsid w:val="004040B3"/>
    <w:rsid w:val="00477E17"/>
    <w:rsid w:val="00492DA9"/>
    <w:rsid w:val="004A41A7"/>
    <w:rsid w:val="004C569C"/>
    <w:rsid w:val="004E4061"/>
    <w:rsid w:val="00516FC7"/>
    <w:rsid w:val="00546874"/>
    <w:rsid w:val="005478C1"/>
    <w:rsid w:val="00552944"/>
    <w:rsid w:val="00555873"/>
    <w:rsid w:val="00556A05"/>
    <w:rsid w:val="005617FD"/>
    <w:rsid w:val="00566C2F"/>
    <w:rsid w:val="00571D39"/>
    <w:rsid w:val="00583F01"/>
    <w:rsid w:val="00591987"/>
    <w:rsid w:val="0059301B"/>
    <w:rsid w:val="005D3F1A"/>
    <w:rsid w:val="005E7763"/>
    <w:rsid w:val="005F4463"/>
    <w:rsid w:val="005F4DC5"/>
    <w:rsid w:val="00603893"/>
    <w:rsid w:val="00604F43"/>
    <w:rsid w:val="00605B4C"/>
    <w:rsid w:val="0061169B"/>
    <w:rsid w:val="00630010"/>
    <w:rsid w:val="0063159E"/>
    <w:rsid w:val="00643491"/>
    <w:rsid w:val="00643690"/>
    <w:rsid w:val="00673FA1"/>
    <w:rsid w:val="00691471"/>
    <w:rsid w:val="006B3A4D"/>
    <w:rsid w:val="006C5458"/>
    <w:rsid w:val="00703B51"/>
    <w:rsid w:val="0070716F"/>
    <w:rsid w:val="0075442B"/>
    <w:rsid w:val="00763471"/>
    <w:rsid w:val="00763B16"/>
    <w:rsid w:val="00771AF1"/>
    <w:rsid w:val="0077789C"/>
    <w:rsid w:val="007812D2"/>
    <w:rsid w:val="00782190"/>
    <w:rsid w:val="007853EF"/>
    <w:rsid w:val="007C39D0"/>
    <w:rsid w:val="008043A8"/>
    <w:rsid w:val="0080620C"/>
    <w:rsid w:val="00806B2A"/>
    <w:rsid w:val="00816E03"/>
    <w:rsid w:val="00842C73"/>
    <w:rsid w:val="00853FB2"/>
    <w:rsid w:val="008B168B"/>
    <w:rsid w:val="008B420E"/>
    <w:rsid w:val="008C0088"/>
    <w:rsid w:val="008C1DB9"/>
    <w:rsid w:val="00926981"/>
    <w:rsid w:val="00954570"/>
    <w:rsid w:val="009724AD"/>
    <w:rsid w:val="00983D28"/>
    <w:rsid w:val="009932E1"/>
    <w:rsid w:val="00997824"/>
    <w:rsid w:val="009C0960"/>
    <w:rsid w:val="009C5644"/>
    <w:rsid w:val="009E1A54"/>
    <w:rsid w:val="00A3479F"/>
    <w:rsid w:val="00A41C30"/>
    <w:rsid w:val="00A655EF"/>
    <w:rsid w:val="00A862DE"/>
    <w:rsid w:val="00A8683C"/>
    <w:rsid w:val="00A947B7"/>
    <w:rsid w:val="00AA001A"/>
    <w:rsid w:val="00AA2788"/>
    <w:rsid w:val="00AE0161"/>
    <w:rsid w:val="00AE770A"/>
    <w:rsid w:val="00B03FB5"/>
    <w:rsid w:val="00B219A6"/>
    <w:rsid w:val="00B2619F"/>
    <w:rsid w:val="00B27A82"/>
    <w:rsid w:val="00B309CB"/>
    <w:rsid w:val="00B31027"/>
    <w:rsid w:val="00B44E03"/>
    <w:rsid w:val="00B906F2"/>
    <w:rsid w:val="00B92831"/>
    <w:rsid w:val="00BA3CFF"/>
    <w:rsid w:val="00BB6B86"/>
    <w:rsid w:val="00BC4633"/>
    <w:rsid w:val="00BC4D75"/>
    <w:rsid w:val="00BC58DD"/>
    <w:rsid w:val="00BE2062"/>
    <w:rsid w:val="00C03CD3"/>
    <w:rsid w:val="00C128B6"/>
    <w:rsid w:val="00C202D5"/>
    <w:rsid w:val="00C26383"/>
    <w:rsid w:val="00C42056"/>
    <w:rsid w:val="00C6209A"/>
    <w:rsid w:val="00C71B78"/>
    <w:rsid w:val="00C74C59"/>
    <w:rsid w:val="00C81908"/>
    <w:rsid w:val="00C82ED0"/>
    <w:rsid w:val="00C869B8"/>
    <w:rsid w:val="00CA24C4"/>
    <w:rsid w:val="00CB0B8D"/>
    <w:rsid w:val="00CB179F"/>
    <w:rsid w:val="00CB4CDA"/>
    <w:rsid w:val="00CC4084"/>
    <w:rsid w:val="00CC52D9"/>
    <w:rsid w:val="00CD6C4F"/>
    <w:rsid w:val="00D26EC8"/>
    <w:rsid w:val="00D51202"/>
    <w:rsid w:val="00D551DC"/>
    <w:rsid w:val="00D64216"/>
    <w:rsid w:val="00D83C5E"/>
    <w:rsid w:val="00DA43E3"/>
    <w:rsid w:val="00DC15AB"/>
    <w:rsid w:val="00DC2B7E"/>
    <w:rsid w:val="00DC77CA"/>
    <w:rsid w:val="00DD69ED"/>
    <w:rsid w:val="00DF1ED5"/>
    <w:rsid w:val="00DF45C6"/>
    <w:rsid w:val="00E16411"/>
    <w:rsid w:val="00E23493"/>
    <w:rsid w:val="00E30283"/>
    <w:rsid w:val="00E41DAC"/>
    <w:rsid w:val="00E614EA"/>
    <w:rsid w:val="00E61DD9"/>
    <w:rsid w:val="00E97EDE"/>
    <w:rsid w:val="00EA295A"/>
    <w:rsid w:val="00EB046F"/>
    <w:rsid w:val="00ED0112"/>
    <w:rsid w:val="00ED4B1B"/>
    <w:rsid w:val="00F04BD3"/>
    <w:rsid w:val="00F1479C"/>
    <w:rsid w:val="00F15ADB"/>
    <w:rsid w:val="00F16D0F"/>
    <w:rsid w:val="00F20DDA"/>
    <w:rsid w:val="00F2629F"/>
    <w:rsid w:val="00F309B0"/>
    <w:rsid w:val="00F4266C"/>
    <w:rsid w:val="00F5785C"/>
    <w:rsid w:val="00F64C07"/>
    <w:rsid w:val="00F73098"/>
    <w:rsid w:val="00F738E0"/>
    <w:rsid w:val="00F96817"/>
    <w:rsid w:val="00FC09F8"/>
    <w:rsid w:val="00FE2DB9"/>
    <w:rsid w:val="13E1336F"/>
    <w:rsid w:val="1BE962E8"/>
    <w:rsid w:val="240B4317"/>
    <w:rsid w:val="28C13DD3"/>
    <w:rsid w:val="310514C8"/>
    <w:rsid w:val="32703A9F"/>
    <w:rsid w:val="42120C5F"/>
    <w:rsid w:val="42881280"/>
    <w:rsid w:val="4AC37A30"/>
    <w:rsid w:val="535713D4"/>
    <w:rsid w:val="57574013"/>
    <w:rsid w:val="59FE0FD2"/>
    <w:rsid w:val="700A331F"/>
    <w:rsid w:val="70E303DF"/>
    <w:rsid w:val="76CE1B2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1"/>
    <w:qFormat/>
    <w:uiPriority w:val="9"/>
    <w:pPr>
      <w:keepNext/>
      <w:keepLines/>
      <w:spacing w:before="340" w:after="330" w:line="578" w:lineRule="auto"/>
      <w:outlineLvl w:val="0"/>
    </w:pPr>
    <w:rPr>
      <w:b/>
      <w:bCs/>
      <w:kern w:val="44"/>
      <w:sz w:val="44"/>
      <w:szCs w:val="44"/>
    </w:rPr>
  </w:style>
  <w:style w:type="paragraph" w:styleId="3">
    <w:name w:val="heading 3"/>
    <w:basedOn w:val="1"/>
    <w:next w:val="1"/>
    <w:link w:val="12"/>
    <w:unhideWhenUsed/>
    <w:qFormat/>
    <w:uiPriority w:val="9"/>
    <w:pPr>
      <w:keepNext/>
      <w:keepLines/>
      <w:spacing w:before="260" w:after="260" w:line="416" w:lineRule="auto"/>
      <w:jc w:val="center"/>
      <w:outlineLvl w:val="2"/>
    </w:pPr>
    <w:rPr>
      <w:rFonts w:eastAsia="仿宋" w:asciiTheme="minorHAnsi" w:hAnsiTheme="minorHAnsi" w:cstheme="minorBidi"/>
      <w:b/>
      <w:bCs/>
      <w:sz w:val="32"/>
      <w:szCs w:val="32"/>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5"/>
    <w:semiHidden/>
    <w:qFormat/>
    <w:uiPriority w:val="99"/>
    <w:rPr>
      <w:sz w:val="18"/>
      <w:szCs w:val="18"/>
    </w:rPr>
  </w:style>
  <w:style w:type="character" w:customStyle="1" w:styleId="10">
    <w:name w:val="页脚 Char"/>
    <w:basedOn w:val="8"/>
    <w:link w:val="4"/>
    <w:semiHidden/>
    <w:qFormat/>
    <w:uiPriority w:val="99"/>
    <w:rPr>
      <w:sz w:val="18"/>
      <w:szCs w:val="18"/>
    </w:rPr>
  </w:style>
  <w:style w:type="character" w:customStyle="1" w:styleId="11">
    <w:name w:val="标题 1 Char"/>
    <w:basedOn w:val="8"/>
    <w:link w:val="2"/>
    <w:qFormat/>
    <w:uiPriority w:val="9"/>
    <w:rPr>
      <w:b/>
      <w:bCs/>
      <w:kern w:val="44"/>
      <w:sz w:val="44"/>
      <w:szCs w:val="44"/>
    </w:rPr>
  </w:style>
  <w:style w:type="character" w:customStyle="1" w:styleId="12">
    <w:name w:val="标题 3 Char"/>
    <w:basedOn w:val="8"/>
    <w:link w:val="3"/>
    <w:qFormat/>
    <w:uiPriority w:val="9"/>
    <w:rPr>
      <w:rFonts w:eastAsia="仿宋" w:asciiTheme="minorHAnsi" w:hAnsiTheme="minorHAnsi" w:cstheme="minorBidi"/>
      <w:b/>
      <w:bCs/>
      <w:kern w:val="2"/>
      <w:sz w:val="32"/>
      <w:szCs w:val="32"/>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4F88F-884E-41DC-A490-FDB320F288FD}">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45</Pages>
  <Words>31895</Words>
  <Characters>32157</Characters>
  <Lines>259</Lines>
  <Paragraphs>73</Paragraphs>
  <TotalTime>3</TotalTime>
  <ScaleCrop>false</ScaleCrop>
  <LinksUpToDate>false</LinksUpToDate>
  <CharactersWithSpaces>32159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2020-12-11T07:02:00Z</dcterms:created>
  <dc:creator>Administrator</dc:creator>
  <cp:lastModifiedBy>Administrator</cp:lastModifiedBy>
  <cp:lastPrinted>2020-09-01T02:53:00Z</cp:lastPrinted>
  <dcterms:modified xsi:type="dcterms:W3CDTF">2022-10-20T03:23:30Z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333D334B05BD42F285ADF7FDE16AAB82</vt:lpwstr>
  </property>
</Properties>
</file>