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重大建设项目领域政务公开标准目录</w:t>
      </w:r>
    </w:p>
    <w:p>
      <w:pPr>
        <w:ind w:firstLine="360"/>
        <w:jc w:val="center"/>
        <w:rPr>
          <w:rFonts w:ascii="黑体" w:hAnsi="黑体" w:eastAsia="黑体"/>
          <w:sz w:val="18"/>
          <w:szCs w:val="18"/>
        </w:rPr>
      </w:pPr>
    </w:p>
    <w:tbl>
      <w:tblPr>
        <w:tblStyle w:val="5"/>
        <w:tblW w:w="14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83"/>
        <w:gridCol w:w="1083"/>
        <w:gridCol w:w="1934"/>
        <w:gridCol w:w="2250"/>
        <w:gridCol w:w="1483"/>
        <w:gridCol w:w="991"/>
        <w:gridCol w:w="2575"/>
        <w:gridCol w:w="665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序号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公开事项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公开内容（要素）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公开依据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公开时限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公开主体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公开渠道和载体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一级事项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二级事项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257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1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批准服务信息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办事指南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实时公开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住建局</w:t>
            </w:r>
            <w:r>
              <w:rPr>
                <w:rFonts w:hint="eastAsia" w:ascii="仿宋_GB2312" w:hAnsi="Times New Roman"/>
                <w:sz w:val="18"/>
                <w:szCs w:val="18"/>
                <w:lang w:eastAsia="zh-CN"/>
              </w:rPr>
              <w:t>、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发改委、农牧水利局、征收办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  ■两微一端    ■纸质媒体    ■公开查阅点  ■政务服务中心■便民服务站  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2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办理过程信息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及时公开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3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咨询监督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咨询电话、监督投诉电话等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■纸质媒体  ■公开查阅点   ■政务服务中心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■社区/企事业单位/村公示栏■投资项目在线审批监管平台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批准结果信息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政府投资项目建议书审批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新城区发展和改革委员会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同上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新城区发展和改革委员会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  ■两微一端     ■发布会听证会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6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政府投资项目初步设计审批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同上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新城区发展和改革委员会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  ■两微一端    ■发布会听证会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7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批准结果信息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企业投资项目备案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同上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新城区发展和改革委员会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 ■两微一端   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8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节能审查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同上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新城区发展和改革委员会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■政务服务中心 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批准结果信息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建筑工程施工许可证核发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审核结果、建设工程施工许可证号、施工许可日期、发证机关、项目名称、项目统一代码等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《关于全面推进政务公开工作的意见》《关于推进重大建设项目批准和实施领域政府信息公开的意见》、《国家发展改革委关于印发&lt;重大建设项目领域基层政务公开标准指引&gt;的通知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新城区住房和城乡建设局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 xml:space="preserve">■两微一端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■发布会/听证会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10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招标事项审批核准结果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《关于全面推进政务公开工作的意见》《关于推进重大建设项目批准和实施领域政府信息公开的意见》、《国家发展改革委关于印发&lt;重大建设项目领域基层政务公开标准指引&gt;的通知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新城区住房和城乡建设局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 xml:space="preserve">■两微一端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■发布会/听证会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招标投标信息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招标投标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《关于全面推进政务公开工作的意见》《关于推进重大建设项目批准和实施领域政府信息公开的意见》、《国家发展改革委关于印发&lt;重大建设项目领域基层政务公开标准指引&gt;的通知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新城区住房和城乡建设局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 xml:space="preserve">■两微一端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■发布会/听证会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■公共资源交易平台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■信用中国网站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■公共资源交易监管网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12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质量安全监督信息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质量安全监督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《关于全面推进政务公开工作的意见》《关于推进重大建设项目批准和实施领域政府信息公开的意见》、《国家发展改革委关于印发&lt;重大建设项目领域基层政务公开标准指引&gt;的通知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新城区住房和城乡建设局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 xml:space="preserve">■两微一端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■发布会/听证会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67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13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竣工有关信息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竣工验收审批（备案）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竣工验收时间、竣工验收结果、竣工验收备案时间、备案编号、备案部门等</w:t>
            </w: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《中华人民共和国政府信息公开条例》《关于全面推进政务公开工作的意见》《关于推进重大建设项目批准和实施领域政府信息公开的意见》、《国家发展改革委关于印发&lt;重大建设项目领域基层政务公开标准指引&gt;的通知》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新城区住房和城乡建设局</w:t>
            </w:r>
          </w:p>
        </w:tc>
        <w:tc>
          <w:tcPr>
            <w:tcW w:w="2575" w:type="dxa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 xml:space="preserve">■政府网站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 xml:space="preserve">■两微一端  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■发布会/听证会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</w:rPr>
              <w:t>■投资项目在线审批监管平台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  <w:r>
              <w:rPr>
                <w:rFonts w:hint="eastAsia" w:ascii="仿宋_GB2312" w:hAnsi="Times New Roman"/>
                <w:sz w:val="18"/>
                <w:szCs w:val="18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</w:rPr>
            </w:pPr>
          </w:p>
        </w:tc>
      </w:tr>
    </w:tbl>
    <w:p>
      <w:pPr>
        <w:spacing w:line="240" w:lineRule="exact"/>
        <w:ind w:firstLine="0" w:firstLineChars="0"/>
        <w:jc w:val="center"/>
        <w:rPr>
          <w:rFonts w:ascii="仿宋_GB2312" w:hAnsi="Times New Roman"/>
          <w:sz w:val="18"/>
          <w:szCs w:val="18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83C86-ADF6-49AD-95AB-B27183C91E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66C30B-0C65-439D-B5C8-D2675A19E0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WE0YmJlZDkyZWViMDNhYjljZDQ4NTAyNzNlM2YifQ=="/>
  </w:docVars>
  <w:rsids>
    <w:rsidRoot w:val="006102CB"/>
    <w:rsid w:val="000642AB"/>
    <w:rsid w:val="00082D76"/>
    <w:rsid w:val="00175F10"/>
    <w:rsid w:val="00176DB1"/>
    <w:rsid w:val="00181165"/>
    <w:rsid w:val="00247F6D"/>
    <w:rsid w:val="003221F4"/>
    <w:rsid w:val="0032298E"/>
    <w:rsid w:val="00326A75"/>
    <w:rsid w:val="00403C6A"/>
    <w:rsid w:val="00461698"/>
    <w:rsid w:val="00465E0D"/>
    <w:rsid w:val="00483F9D"/>
    <w:rsid w:val="004E4E14"/>
    <w:rsid w:val="006102CB"/>
    <w:rsid w:val="006A644D"/>
    <w:rsid w:val="006B32E8"/>
    <w:rsid w:val="006E1C42"/>
    <w:rsid w:val="007A70FF"/>
    <w:rsid w:val="008107E4"/>
    <w:rsid w:val="00883365"/>
    <w:rsid w:val="008C2BB5"/>
    <w:rsid w:val="0092455F"/>
    <w:rsid w:val="009C0EF9"/>
    <w:rsid w:val="00A24FA0"/>
    <w:rsid w:val="00AA4D80"/>
    <w:rsid w:val="00AC0F14"/>
    <w:rsid w:val="00D80F6C"/>
    <w:rsid w:val="00E3086A"/>
    <w:rsid w:val="00EA758E"/>
    <w:rsid w:val="00EF1325"/>
    <w:rsid w:val="00F45BFA"/>
    <w:rsid w:val="08AE0357"/>
    <w:rsid w:val="1F503319"/>
    <w:rsid w:val="1F784F2C"/>
    <w:rsid w:val="2DAD4B53"/>
    <w:rsid w:val="38CD3D11"/>
    <w:rsid w:val="3ED5246B"/>
    <w:rsid w:val="45C30E50"/>
    <w:rsid w:val="45E26428"/>
    <w:rsid w:val="4B3522FB"/>
    <w:rsid w:val="5293675B"/>
    <w:rsid w:val="57426520"/>
    <w:rsid w:val="580C652F"/>
    <w:rsid w:val="60EF6DD5"/>
    <w:rsid w:val="625043F6"/>
    <w:rsid w:val="688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2600</Words>
  <Characters>2610</Characters>
  <Lines>26</Lines>
  <Paragraphs>7</Paragraphs>
  <TotalTime>64</TotalTime>
  <ScaleCrop>false</ScaleCrop>
  <LinksUpToDate>false</LinksUpToDate>
  <CharactersWithSpaces>2713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2020-08-03T08:26:00Z</dcterms:created>
  <dc:creator>ZhengLan</dc:creator>
  <cp:lastModifiedBy>焦鑫</cp:lastModifiedBy>
  <cp:lastPrinted>2020-09-21T03:54:00Z</cp:lastPrinted>
  <dcterms:modified xsi:type="dcterms:W3CDTF">2024-06-27T07:17:22Z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DE1BDCCDE6744C5FBB857083AB2A07CF_13</vt:lpwstr>
  </property>
</Properties>
</file>