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11"/>
        <w:rPr>
          <w:rFonts w:ascii="黑体"/>
          <w:sz w:val="23"/>
        </w:rPr>
      </w:pPr>
    </w:p>
    <w:p>
      <w:pPr>
        <w:pStyle w:val="3"/>
        <w:ind w:left="1454"/>
        <w:rPr>
          <w:rFonts w:ascii="黑体"/>
          <w:sz w:val="20"/>
        </w:rPr>
      </w:pPr>
      <w:r>
        <w:rPr>
          <w:rFonts w:ascii="黑体"/>
          <w:sz w:val="20"/>
        </w:rPr>
        <w:drawing>
          <wp:inline distT="0" distB="0" distL="0" distR="0">
            <wp:extent cx="4175125" cy="292100"/>
            <wp:effectExtent l="0" t="0" r="0" b="0"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367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0"/>
        <w:rPr>
          <w:rFonts w:ascii="黑体"/>
          <w:sz w:val="11"/>
        </w:rPr>
      </w:pPr>
    </w:p>
    <w:p>
      <w:pPr>
        <w:spacing w:before="41"/>
        <w:ind w:left="5735" w:right="0" w:firstLine="0"/>
        <w:jc w:val="left"/>
        <w:rPr>
          <w:rFonts w:hint="eastAsia" w:ascii="宋体" w:eastAsia="宋体"/>
          <w:sz w:val="4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48895</wp:posOffset>
            </wp:positionV>
            <wp:extent cx="2146300" cy="292735"/>
            <wp:effectExtent l="0" t="0" r="0" b="0"/>
            <wp:wrapNone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499" cy="2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 w:val="42"/>
        </w:rPr>
        <w:t>(2022版)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5"/>
        <w:rPr>
          <w:rFonts w:ascii="宋体"/>
          <w:sz w:val="20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一、下列情形，不得实施相应行政强制措施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jc w:val="both"/>
        <w:textAlignment w:val="auto"/>
      </w:pPr>
      <w:r>
        <w:t>(一)没有法律、法规依据的,不得实施行政强制措施;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  <w:rPr>
          <w:spacing w:val="4"/>
          <w:w w:val="95"/>
        </w:rPr>
      </w:pPr>
      <w:r>
        <w:rPr>
          <w:spacing w:val="4"/>
          <w:w w:val="95"/>
        </w:rPr>
        <w:t>(二)不具有行政执法资格的人员,不得实施行政强制措施;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</w:pPr>
      <w:r>
        <w:rPr>
          <w:spacing w:val="8"/>
          <w:w w:val="95"/>
        </w:rPr>
        <w:t>(三)受委托实施行政处罚的行政机关,不得代为实施行政</w:t>
      </w:r>
      <w:r>
        <w:t>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8" w:firstLineChars="200"/>
        <w:jc w:val="both"/>
        <w:textAlignment w:val="auto"/>
      </w:pPr>
      <w:r>
        <w:rPr>
          <w:w w:val="95"/>
        </w:rPr>
        <w:t>(四)超出法律、法规规定可以实施强制措施范围、种类的,</w:t>
      </w:r>
      <w:r>
        <w:rPr>
          <w:spacing w:val="-7"/>
        </w:rPr>
        <w:t>不得实施相应的行政强制措施;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</w:pPr>
      <w:r>
        <w:t>(五)与当事人违法行为无关的场所、设施或者财物,不得实施查封、扣押的强制措施;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</w:pPr>
      <w:r>
        <w:rPr>
          <w:spacing w:val="8"/>
          <w:w w:val="95"/>
        </w:rPr>
        <w:t>(六)公民个人及其所扶养家属的生活必需品,不得实施查</w:t>
      </w:r>
      <w:r>
        <w:rPr>
          <w:spacing w:val="-7"/>
        </w:rPr>
        <w:t>封、扣押的强制措施;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</w:pPr>
      <w:r>
        <w:t>(七)已被其他国家机关依法查封的场所、设施或者财物,不得重复实施查封的强制措施。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8" w:firstLineChars="200"/>
        <w:jc w:val="both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w w:val="95"/>
        </w:rPr>
        <w:t xml:space="preserve">二、下列市场监管领域违法行为,情节显著轻微或者没有明 </w:t>
      </w:r>
      <w:r>
        <w:rPr>
          <w:rFonts w:hint="eastAsia" w:ascii="黑体" w:eastAsia="黑体"/>
          <w:spacing w:val="4"/>
          <w:w w:val="95"/>
        </w:rPr>
        <w:t>显社会危害,且自行纠正或在责令期限内改正的,可以不予实施</w:t>
      </w:r>
      <w:r>
        <w:rPr>
          <w:rFonts w:hint="eastAsia" w:ascii="黑体" w:eastAsia="黑体"/>
          <w:spacing w:val="4"/>
          <w:w w:val="95"/>
          <w:lang w:eastAsia="zh-CN"/>
        </w:rPr>
        <w:t>相应行政强制措施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(八)涉嫌违反《无证无照经营查处办法》第二条的规定实</w:t>
      </w:r>
      <w:r>
        <w:rPr>
          <w:spacing w:val="-3"/>
          <w:w w:val="95"/>
        </w:rPr>
        <w:t>施无照经营行为,且该行为属于依法无需取得许可或者已经取得</w:t>
      </w:r>
      <w:r>
        <w:t>许可的无照经营行为;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38" w:firstLineChars="200"/>
        <w:jc w:val="both"/>
        <w:textAlignment w:val="auto"/>
        <w:rPr>
          <w:sz w:val="33"/>
        </w:rPr>
      </w:pPr>
      <w:r>
        <w:rPr>
          <w:spacing w:val="3"/>
          <w:w w:val="95"/>
          <w:sz w:val="33"/>
        </w:rPr>
        <w:t>(九)涉嫌违反《无证无照经营查处办法》第二条的规定,</w:t>
      </w:r>
      <w:r>
        <w:rPr>
          <w:spacing w:val="3"/>
          <w:sz w:val="33"/>
        </w:rPr>
        <w:t>明知经营者实施前款规定的无照经营行为,而为其提供经营场</w:t>
      </w:r>
      <w:r>
        <w:rPr>
          <w:spacing w:val="-6"/>
          <w:sz w:val="33"/>
        </w:rPr>
        <w:t>所,或者提供运输、保管、仓储等条件;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60" w:firstLineChars="200"/>
        <w:jc w:val="both"/>
        <w:textAlignment w:val="auto"/>
        <w:rPr>
          <w:sz w:val="33"/>
        </w:rPr>
      </w:pPr>
      <w:r>
        <w:rPr>
          <w:sz w:val="33"/>
        </w:rPr>
        <w:t>(十)外国企业常驻代表机构涉嫌违反《外国企业常驻代表机构登记管理条例》第六条规定,未依照规定提交年度报告;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6" w:firstLineChars="200"/>
        <w:jc w:val="both"/>
        <w:textAlignment w:val="auto"/>
        <w:rPr>
          <w:sz w:val="33"/>
        </w:rPr>
      </w:pPr>
      <w:r>
        <w:rPr>
          <w:spacing w:val="-5"/>
          <w:w w:val="95"/>
          <w:sz w:val="33"/>
        </w:rPr>
        <w:t>(十一)涉嫌违反《中华人民共和国广告法》第十二条第一</w:t>
      </w:r>
      <w:r>
        <w:rPr>
          <w:spacing w:val="-6"/>
          <w:w w:val="95"/>
          <w:sz w:val="33"/>
        </w:rPr>
        <w:t>款规定,广告中涉及专利产品或者专利方法,未标明专利号和专</w:t>
      </w:r>
      <w:r>
        <w:rPr>
          <w:sz w:val="33"/>
        </w:rPr>
        <w:t>利种类,但专利有效;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14" w:firstLineChars="200"/>
        <w:jc w:val="both"/>
        <w:textAlignment w:val="auto"/>
        <w:rPr>
          <w:sz w:val="33"/>
        </w:rPr>
      </w:pPr>
      <w:r>
        <w:rPr>
          <w:spacing w:val="-3"/>
          <w:w w:val="95"/>
          <w:sz w:val="33"/>
        </w:rPr>
        <w:t>(十二)涉嫌违反《中华人民共和国广告法》第十四条第二</w:t>
      </w:r>
      <w:r>
        <w:rPr>
          <w:spacing w:val="11"/>
          <w:sz w:val="33"/>
        </w:rPr>
        <w:t>款规定,通过大众传播媒介发布的广告未显著标注"广告"字</w:t>
      </w:r>
      <w:r>
        <w:rPr>
          <w:spacing w:val="-5"/>
          <w:sz w:val="33"/>
        </w:rPr>
        <w:t>样,但内容能使消费者辨明其为广告;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  <w:rPr>
          <w:sz w:val="33"/>
        </w:rPr>
      </w:pPr>
      <w:r>
        <w:rPr>
          <w:spacing w:val="-5"/>
          <w:sz w:val="33"/>
        </w:rPr>
        <w:t>(十三)涉嫌违反《中华人民共和国广告法》第三十四条第</w:t>
      </w:r>
      <w:r>
        <w:rPr>
          <w:spacing w:val="-7"/>
          <w:w w:val="95"/>
          <w:sz w:val="33"/>
        </w:rPr>
        <w:t>一款规定,广告经营者、广告发布者未按照国家有关规定建立、</w:t>
      </w:r>
      <w:r>
        <w:rPr>
          <w:spacing w:val="-14"/>
          <w:sz w:val="33"/>
        </w:rPr>
        <w:t>健全广告业务管理制度;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6" w:firstLineChars="200"/>
        <w:jc w:val="both"/>
        <w:textAlignment w:val="auto"/>
        <w:rPr>
          <w:sz w:val="33"/>
        </w:rPr>
      </w:pPr>
      <w:r>
        <w:rPr>
          <w:spacing w:val="-5"/>
          <w:w w:val="95"/>
          <w:sz w:val="33"/>
        </w:rPr>
        <w:t>(十四)涉嫌违反《中华人民共和国广告法》第三十四条第</w:t>
      </w:r>
      <w:r>
        <w:rPr>
          <w:spacing w:val="-6"/>
          <w:w w:val="95"/>
          <w:sz w:val="33"/>
        </w:rPr>
        <w:t>二款规定,广告经营者、广告发布者未对广告内容进行核对,但</w:t>
      </w:r>
      <w:r>
        <w:rPr>
          <w:spacing w:val="-14"/>
          <w:sz w:val="33"/>
        </w:rPr>
        <w:t>广告内容未违法;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34" w:firstLineChars="200"/>
        <w:jc w:val="both"/>
        <w:textAlignment w:val="auto"/>
        <w:rPr>
          <w:sz w:val="33"/>
        </w:rPr>
      </w:pPr>
      <w:r>
        <w:rPr>
          <w:spacing w:val="2"/>
          <w:w w:val="95"/>
          <w:sz w:val="33"/>
        </w:rPr>
        <w:t>(十五)涉嫌违反《中华人民共和国广告法》第三十五条,</w:t>
      </w:r>
      <w:r>
        <w:rPr>
          <w:spacing w:val="-15"/>
          <w:sz w:val="33"/>
        </w:rPr>
        <w:t>广告经营者、广告发布者未公布其收费标准和收费办法;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6" w:firstLineChars="200"/>
        <w:jc w:val="both"/>
        <w:textAlignment w:val="auto"/>
        <w:rPr>
          <w:sz w:val="32"/>
          <w:szCs w:val="32"/>
        </w:rPr>
      </w:pPr>
      <w:r>
        <w:rPr>
          <w:spacing w:val="-5"/>
          <w:w w:val="95"/>
          <w:sz w:val="33"/>
        </w:rPr>
        <w:t>(十六)涉嫌违反《中华人民共和国广告法》第四十三条第一款规定,未经当事人同意或者请求,向其住宅、交通工具等发</w:t>
      </w:r>
      <w:r>
        <w:rPr>
          <w:sz w:val="32"/>
          <w:szCs w:val="32"/>
        </w:rPr>
        <w:t>送广告,或者以电子信息方式向其发送广告;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(十七)涉嫌违反《中华人民共和国广告法》第四十三条第二款规定,以电子信息方式发送广告,未明示发送者的真实身份</w:t>
      </w:r>
      <w:r>
        <w:t>和联系方式,并向接收者提供拒绝继续接收的方式;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(十八)涉嫌违反《工业产品生产许可证管理条例》第二十九条规定,取得生产许可证的企业名称发生变化,未依照规定办</w:t>
      </w:r>
      <w:r>
        <w:rPr>
          <w:spacing w:val="-5"/>
        </w:rPr>
        <w:t>理变更手续;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(十九)涉嫌违反《工业产品生产许可证管理条例》第三十</w:t>
      </w:r>
      <w:r>
        <w:rPr>
          <w:spacing w:val="-3"/>
          <w:w w:val="95"/>
        </w:rPr>
        <w:t>三条第一款规定,取得生产许可证的企业未依照规定在产品、包</w:t>
      </w:r>
      <w:r>
        <w:rPr>
          <w:spacing w:val="-7"/>
        </w:rPr>
        <w:t>装或说明书上标注生产许可证标志和编号;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(二十)涉嫌违反《工业产品生产许可证管理条例》第三十</w:t>
      </w:r>
      <w:r>
        <w:rPr>
          <w:spacing w:val="-2"/>
          <w:w w:val="95"/>
        </w:rPr>
        <w:t>八条规定,取得生产许可证的企业未在规定期限内向自治区工业</w:t>
      </w:r>
      <w:r>
        <w:rPr>
          <w:spacing w:val="-7"/>
        </w:rPr>
        <w:t>产品生产许可证主管部门提交报告;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(二十一)食品生产经营企业涉嫌违反《中华人民共和国食品安全法》第四十四条规定,未按规定建立食品安全管理制度,或者未按规定配备或者培训、考核食品安全管理人员,且未造成</w:t>
      </w:r>
      <w:r>
        <w:rPr>
          <w:spacing w:val="-5"/>
        </w:rPr>
        <w:t>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(二十二)食品生产经营企业涉嫌违反《中华人民共和国食</w:t>
      </w:r>
      <w:r>
        <w:rPr>
          <w:spacing w:val="-4"/>
        </w:rPr>
        <w:t>品安全法》第一百零二条第三款规定,未制定食品安全事故处置</w:t>
      </w:r>
      <w:r>
        <w:rPr>
          <w:spacing w:val="4"/>
        </w:rPr>
        <w:t>方案,且未发生食品安全事故;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(二十三)食品生产经营者涉嫌违反《中华人民共和国食品</w:t>
      </w:r>
      <w:r>
        <w:rPr>
          <w:spacing w:val="-7"/>
          <w:w w:val="95"/>
        </w:rPr>
        <w:t>安全法》第四十五条规定，安排未取得健康证明的人员从事接触</w:t>
      </w:r>
      <w:r>
        <w:t>直接入口食品的工作,且未造成危害后果;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(二十四)食品经营者涉嫌违反《中华人民共和国食品安全</w:t>
      </w:r>
      <w:r>
        <w:rPr>
          <w:spacing w:val="2"/>
        </w:rPr>
        <w:t>法》第六十八条、第七十二条规定,未按规定要求销售食品,且</w:t>
      </w:r>
      <w:r>
        <w:rPr>
          <w:spacing w:val="-3"/>
        </w:rPr>
        <w:t>未造成危害后果;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(二十五)食品生产经营者涉嫌违反《中华人民共和国食品</w:t>
      </w:r>
      <w:r>
        <w:rPr>
          <w:spacing w:val="8"/>
        </w:rPr>
        <w:t>安全法》第四十七条规定,未定期对食品安全状况进行检查评</w:t>
      </w:r>
      <w:r>
        <w:rPr>
          <w:spacing w:val="6"/>
        </w:rPr>
        <w:t>价,且未造成危害后果;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4" w:firstLineChars="200"/>
        <w:jc w:val="both"/>
        <w:textAlignment w:val="auto"/>
      </w:pPr>
      <w:r>
        <w:rPr>
          <w:spacing w:val="4"/>
          <w:w w:val="95"/>
        </w:rPr>
        <w:t>(二十六)食品相关产品生产者涉嫌违反《中华人民共和国</w:t>
      </w:r>
      <w:r>
        <w:rPr>
          <w:spacing w:val="-1"/>
          <w:w w:val="95"/>
        </w:rPr>
        <w:t>食品安全法》第五十二条规定,未按规定对生产的食品相关产品</w:t>
      </w:r>
      <w:r>
        <w:rPr>
          <w:spacing w:val="7"/>
        </w:rPr>
        <w:t>进行检验,但该产品合格;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0" w:firstLineChars="200"/>
        <w:jc w:val="both"/>
        <w:textAlignment w:val="auto"/>
      </w:pPr>
      <w:r>
        <w:rPr>
          <w:spacing w:val="3"/>
          <w:w w:val="95"/>
        </w:rPr>
        <w:t>(二十七)食用农产品销售者涉嫌违反《中华人民共和国食</w:t>
      </w:r>
      <w:r>
        <w:rPr>
          <w:spacing w:val="-3"/>
        </w:rPr>
        <w:t>品安全法》第六十五条规定,未建立食用农产品进货查验记录制</w:t>
      </w:r>
      <w:r>
        <w:rPr>
          <w:spacing w:val="3"/>
        </w:rPr>
        <w:t>度,未按规定如实记录并保存相关凭证,且未造成危害后果;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0" w:firstLineChars="200"/>
        <w:jc w:val="both"/>
        <w:textAlignment w:val="auto"/>
      </w:pPr>
      <w:r>
        <w:rPr>
          <w:spacing w:val="3"/>
          <w:w w:val="95"/>
        </w:rPr>
        <w:t>(二十八)网络食品交易第三方平台提供者涉嫌违反《中华</w:t>
      </w:r>
      <w:r>
        <w:rPr>
          <w:spacing w:val="-1"/>
          <w:w w:val="95"/>
        </w:rPr>
        <w:t>人民共和国食品安全法》第六十二条规定,未对入网食品经营者</w:t>
      </w:r>
      <w:r>
        <w:rPr>
          <w:spacing w:val="-1"/>
        </w:rPr>
        <w:t>进行实名登记、审查许可证,且未造成危害后果;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0" w:firstLineChars="200"/>
        <w:jc w:val="both"/>
        <w:textAlignment w:val="auto"/>
        <w:rPr>
          <w:sz w:val="27"/>
        </w:rPr>
      </w:pPr>
      <w:r>
        <w:rPr>
          <w:spacing w:val="3"/>
          <w:w w:val="95"/>
        </w:rPr>
        <w:t>(二十九)食品生产经营者涉嫌违反《食品生产经营监督检</w:t>
      </w:r>
      <w:r>
        <w:rPr>
          <w:spacing w:val="-1"/>
          <w:w w:val="95"/>
        </w:rPr>
        <w:t>查管理办法》第三十九条第二款规定,未按照规定在显著位置张</w:t>
      </w:r>
      <w:r>
        <w:rPr>
          <w:spacing w:val="-3"/>
          <w:w w:val="95"/>
        </w:rPr>
        <w:t>贴或者公开展示相关监督检查结果记录表,撕毁、涂改监督检查结果记录表,或者未保持日常监督检查结果记录表至下次日常监</w:t>
      </w:r>
      <w:r>
        <w:rPr>
          <w:spacing w:val="-3"/>
        </w:rPr>
        <w:t>督检查,且未造成危害后果。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jc w:val="both"/>
        <w:textAlignment w:val="auto"/>
        <w:rPr>
          <w:rFonts w:ascii="黑体"/>
          <w:sz w:val="10"/>
        </w:rPr>
      </w:pPr>
      <w:r>
        <w:rPr>
          <w:rFonts w:hint="eastAsia" w:ascii="黑体" w:eastAsia="黑体"/>
        </w:rPr>
        <w:t>三、下列采取非强制手段能够达到市场监督管理目的的情</w:t>
      </w:r>
      <w:r>
        <w:rPr>
          <w:rFonts w:hint="eastAsia" w:ascii="黑体" w:eastAsia="黑体"/>
          <w:lang w:eastAsia="zh-CN"/>
        </w:rPr>
        <w:t>行，可以不采取相应行政强制措施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704" w:firstLineChars="200"/>
        <w:jc w:val="both"/>
        <w:textAlignment w:val="auto"/>
      </w:pPr>
      <w:r>
        <w:rPr>
          <w:spacing w:val="16"/>
        </w:rPr>
        <w:t>(三十)为收集、固定证据,能够通过抽样取证,提取复制</w:t>
      </w:r>
      <w:r>
        <w:rPr>
          <w:spacing w:val="-7"/>
          <w:w w:val="95"/>
        </w:rPr>
        <w:t>件、影印件或者抄录件，或者利用互联网信息系统、设备等其他</w:t>
      </w:r>
      <w:r>
        <w:rPr>
          <w:spacing w:val="-6"/>
          <w:w w:val="95"/>
        </w:rPr>
        <w:t>方式收集、固定证据的,可以不采取查封、扣押行政强制措施的</w:t>
      </w:r>
      <w:r>
        <w:rPr>
          <w:spacing w:val="-3"/>
        </w:rPr>
        <w:t>方式收集、固定证据;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08" w:firstLineChars="200"/>
        <w:jc w:val="both"/>
        <w:textAlignment w:val="auto"/>
      </w:pPr>
      <w:r>
        <w:rPr>
          <w:w w:val="95"/>
        </w:rPr>
        <w:t>(三十一)依法能够通过召回措施进行处置的涉案产品,当事人主动或者在责令期限内依法进行召回处置的,对该涉案产品</w:t>
      </w:r>
      <w:r>
        <w:t>可以不采取查封、扣押行政强制措施;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72" w:firstLineChars="200"/>
        <w:jc w:val="both"/>
        <w:textAlignment w:val="auto"/>
      </w:pPr>
      <w:r>
        <w:rPr>
          <w:spacing w:val="8"/>
        </w:rPr>
        <w:t>(三十二)食品、食品添加剂的标签、说明书存在瑕疵,生</w:t>
      </w:r>
      <w:r>
        <w:rPr>
          <w:spacing w:val="-1"/>
          <w:w w:val="95"/>
        </w:rPr>
        <w:t>产经营者拟采取合理的补救措施继续销售,且能够保证食品安全</w:t>
      </w:r>
      <w:r>
        <w:rPr>
          <w:spacing w:val="-3"/>
        </w:rPr>
        <w:t>的,对该食品、食品添加剂可以不采取查封、扣押措施。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500" w:firstLineChars="200"/>
        <w:jc w:val="both"/>
        <w:textAlignment w:val="auto"/>
        <w:rPr>
          <w:rFonts w:ascii="宋体" w:hAnsi="宋体"/>
          <w:sz w:val="25"/>
        </w:rPr>
      </w:pPr>
    </w:p>
    <w:sectPr>
      <w:pgSz w:w="12240" w:h="16820"/>
      <w:pgMar w:top="1600" w:right="164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NkOTM2MGQ4OGJiMzRjZTdkYmU2NWRhY2ViMmZlY2MifQ=="/>
  </w:docVars>
  <w:rsids>
    <w:rsidRoot w:val="00000000"/>
    <w:rsid w:val="533E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78"/>
      <w:outlineLvl w:val="1"/>
    </w:pPr>
    <w:rPr>
      <w:rFonts w:ascii="仿宋" w:hAnsi="仿宋" w:eastAsia="仿宋" w:cs="仿宋"/>
      <w:sz w:val="33"/>
      <w:szCs w:val="33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2598</Words>
  <Characters>2622</Characters>
  <TotalTime>8</TotalTime>
  <ScaleCrop>false</ScaleCrop>
  <LinksUpToDate>false</LinksUpToDate>
  <CharactersWithSpaces>2671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2025-10-28T07:05:00Z</dcterms:created>
  <dc:creator>Administrator</dc:creator>
  <cp:lastModifiedBy>一猫</cp:lastModifiedBy>
  <dcterms:modified xsi:type="dcterms:W3CDTF">2025-10-28T07:15:10Z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2025-10-28T00:00:00Z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4AC57E1284EE4BFD9D58509E29A5168B</vt:lpwstr>
  </property>
</Properties>
</file>