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ascii="仿宋_GB2312" w:eastAsia="仿宋_GB2312" w:cs="仿宋_GB2312"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b w:val="0"/>
          <w:bCs w:val="0"/>
          <w:sz w:val="44"/>
          <w:szCs w:val="44"/>
          <w:lang w:val="en-US" w:eastAsia="zh-CN"/>
        </w:rPr>
        <w:t>扶残助困</w:t>
      </w:r>
      <w:r>
        <w:rPr>
          <w:rFonts w:ascii="方正小标宋简体" w:eastAsia="方正小标宋简体" w:cs="方正小标宋简体" w:hint="eastAsia"/>
          <w:b w:val="0"/>
          <w:bCs w:val="0"/>
          <w:sz w:val="44"/>
          <w:szCs w:val="44"/>
        </w:rPr>
        <w:t>“一件事</w:t>
      </w:r>
      <w:r>
        <w:rPr>
          <w:rFonts w:ascii="方正小标宋简体" w:eastAsia="方正小标宋简体" w:cs="方正小标宋简体" w:hint="eastAsia"/>
          <w:b w:val="0"/>
          <w:bCs w:val="0"/>
          <w:sz w:val="44"/>
          <w:szCs w:val="44"/>
          <w:lang w:eastAsia="zh-CN"/>
        </w:rPr>
        <w:t>一次办</w:t>
      </w:r>
      <w:r>
        <w:rPr>
          <w:rFonts w:ascii="方正小标宋简体" w:eastAsia="方正小标宋简体" w:cs="方正小标宋简体" w:hint="eastAsia"/>
          <w:b w:val="0"/>
          <w:bCs w:val="0"/>
          <w:sz w:val="44"/>
          <w:szCs w:val="44"/>
        </w:rPr>
        <w:t>”</w:t>
      </w:r>
      <w:r>
        <w:rPr>
          <w:rFonts w:ascii="方正小标宋简体" w:eastAsia="方正小标宋简体" w:cs="方正小标宋简体" w:hint="eastAsia"/>
          <w:b w:val="0"/>
          <w:bCs w:val="0"/>
          <w:sz w:val="44"/>
          <w:szCs w:val="44"/>
          <w:lang w:val="en-US" w:eastAsia="zh-CN"/>
        </w:rPr>
        <w:t>办事</w:t>
      </w:r>
      <w:r>
        <w:rPr>
          <w:rFonts w:ascii="方正小标宋简体" w:eastAsia="方正小标宋简体" w:cs="方正小标宋简体" w:hint="eastAsia"/>
          <w:b w:val="0"/>
          <w:bCs w:val="0"/>
          <w:sz w:val="44"/>
          <w:szCs w:val="44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仿宋_GB2312" w:eastAsia="仿宋_GB2312" w:cs="仿宋_GB2312"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当事人可根据实际情况，自行选择“网上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申请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”或“现场申请”方式办理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扶残助困“一件事一次办”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，具体联办流程如下：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firstLineChars="200" w:firstLine="640"/>
        <w:textAlignment w:val="auto"/>
        <w:rPr>
          <w:rFonts w:ascii="黑体" w:eastAsia="黑体" w:cs="黑体"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 w:val="0"/>
          <w:color w:val="000000"/>
          <w:sz w:val="32"/>
          <w:szCs w:val="32"/>
          <w:lang w:val="en-US" w:eastAsia="zh-CN"/>
        </w:rPr>
        <w:t>一站式服务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firstLineChars="200" w:firstLine="640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当事人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在办理残疾人证申请后，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可以根据实际，选择通过“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一件事一次办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专栏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（登录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内蒙古自治区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政务服务网），或通过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残联组织设立的扶残助困“一件事一次办”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窗口，提出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扶残助困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“一件事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一次办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”服务申请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，联办信息将通过“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一件事一次办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”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系统或窗口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统一受理，后台分发审批，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办理联办事项。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firstLineChars="200" w:firstLine="640"/>
        <w:textAlignment w:val="auto"/>
        <w:rPr>
          <w:rFonts w:ascii="黑体" w:eastAsia="黑体" w:cs="黑体"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 w:val="0"/>
          <w:color w:val="000000"/>
          <w:sz w:val="32"/>
          <w:szCs w:val="32"/>
          <w:lang w:val="en-US" w:eastAsia="zh-CN"/>
        </w:rPr>
        <w:t>残疾人两项补贴资格认定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firstLineChars="200" w:firstLine="640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民政部门根据扶残助困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“一件事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一次办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”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窗口推送的残疾人信息进行残疾人两项补贴资格认定。对符合条件的，在5个工作日内告知申请人办理结果并及时发放补贴；不符件的，在5个工作日内告知申请人原因或补齐相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关材料后到窗口办理。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firstLineChars="200" w:firstLine="640"/>
        <w:textAlignment w:val="auto"/>
        <w:rPr>
          <w:rFonts w:ascii="黑体" w:eastAsia="黑体" w:cs="黑体"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 w:val="0"/>
          <w:color w:val="000000"/>
          <w:sz w:val="32"/>
          <w:szCs w:val="32"/>
          <w:lang w:val="en-US" w:eastAsia="zh-CN"/>
        </w:rPr>
        <w:t>低保和特困等困难群众医疗救助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仿宋_GB2312" w:eastAsia="仿宋_GB2312" w:cs="仿宋_GB2312" w:hint="eastAsia"/>
          <w:color w:val="C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</w:rPr>
        <w:t>医保部门根据扶残助困“一件事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  <w:lang w:eastAsia="zh-CN"/>
        </w:rPr>
        <w:t>一次办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</w:rPr>
        <w:t>”服务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平台或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</w:rPr>
        <w:t>窗口推送相关业务数据，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  <w:lang w:eastAsia="zh-CN"/>
        </w:rPr>
        <w:t>对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</w:rPr>
        <w:t>参加城乡居民基本医疗保险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  <w:lang w:eastAsia="zh-CN"/>
        </w:rPr>
        <w:t>并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</w:rPr>
        <w:t>经认定符合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  <w:lang w:eastAsia="zh-CN"/>
        </w:rPr>
        <w:t>医疗救助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</w:rPr>
        <w:t>条件的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  <w:lang w:val="en-US" w:eastAsia="zh-CN"/>
        </w:rPr>
        <w:t>低保和特困等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</w:rPr>
        <w:t>救助对象，经基本医疗保险、补充医疗保险支付后，个人及其家庭难以承受的符合规定的自付医疗费用给予的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  <w:lang w:eastAsia="zh-CN"/>
        </w:rPr>
        <w:t>医疗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</w:rPr>
        <w:t>救助未正常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  <w:lang w:eastAsia="zh-CN"/>
        </w:rPr>
        <w:t>在定点医药机构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</w:rPr>
        <w:t>联网结算的，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  <w:lang w:eastAsia="zh-CN"/>
        </w:rPr>
        <w:t>办理医疗救助对象手工（零星）报销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firstLineChars="200" w:firstLine="640"/>
        <w:textAlignment w:val="auto"/>
        <w:rPr>
          <w:rFonts w:ascii="黑体" w:eastAsia="黑体" w:cs="黑体" w:hint="eastAsia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ascii="黑体" w:eastAsia="黑体" w:cs="黑体" w:hint="eastAsia"/>
          <w:b w:val="0"/>
          <w:bCs w:val="0"/>
          <w:color w:val="000000"/>
          <w:sz w:val="32"/>
          <w:szCs w:val="32"/>
          <w:lang w:val="en-US" w:eastAsia="zh-CN"/>
        </w:rPr>
        <w:t>四、城乡居民基本养老保险保费代缴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firstLineChars="200" w:firstLine="640"/>
        <w:textAlignment w:val="auto"/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人社部门根据扶残助困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“一件事</w:t>
      </w:r>
      <w:r>
        <w:rPr>
          <w:rFonts w:ascii="仿宋_GB2312" w:eastAsia="仿宋_GB2312" w:cs="仿宋_GB2312" w:hint="eastAsia"/>
          <w:color w:val="000000"/>
          <w:sz w:val="32"/>
          <w:szCs w:val="32"/>
          <w:lang w:eastAsia="zh-CN"/>
        </w:rPr>
        <w:t>一次办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”服务</w:t>
      </w:r>
      <w:r>
        <w:rPr>
          <w:rFonts w:ascii="仿宋_GB2312" w:eastAsia="仿宋_GB2312" w:cs="仿宋_GB2312" w:hint="eastAsia"/>
          <w:color w:val="000000"/>
          <w:sz w:val="32"/>
          <w:szCs w:val="32"/>
          <w:lang w:val="en-US" w:eastAsia="zh-CN"/>
        </w:rPr>
        <w:t>平台或窗口推送的相关业务数据，为符合代缴条件的重度残疾人代缴养老保险保费。</w:t>
      </w:r>
    </w:p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FEF728AE"/>
    <w:multiLevelType w:val="singleLevel"/>
    <w:tmpl w:val="FEF728AE"/>
    <w:lvl w:ilvl="0">
      <w:start w:val="1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  <w:docVars>
    <w:docVars w:name="commondata" w:val="eyJoZGlkIjoiMzA0NThmYTk1YTM2NjEyOTI2NDU3Yjk4MjI0Yjk1Ym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1</Pages>
  <Words>16</Words>
  <Characters>16</Characters>
  <Lines>1</Lines>
  <Paragraphs>1</Paragraphs>
  <CharactersWithSpaces>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卫都（wade）</dc:creator>
  <cp:lastModifiedBy>candice</cp:lastModifiedBy>
  <cp:revision>1</cp:revision>
  <dcterms:created xsi:type="dcterms:W3CDTF">2023-07-31T08:27:00Z</dcterms:created>
  <dcterms:modified xsi:type="dcterms:W3CDTF">2023-08-01T09:41:58Z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2052-12.1.0.15120</vt:lpwstr>
  </property>
  <property fmtid="{D5CDD505-2E9C-101B-9397-08002B2CF9AE}" pid="3" name="ICV">
    <vt:lpwstr>3C4CF25248B7477DA75890C09188D720_11</vt:lpwstr>
  </property>
</Properties>
</file>